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[Mark One]</w:t>
      </w:r>
    </w:p>
    <w:p>
      <w:pPr>
        <w:spacing w:after="0" w:line="131" w:lineRule="exact"/>
        <w:rPr>
          <w:sz w:val="24"/>
          <w:szCs w:val="24"/>
          <w:color w:val="auto"/>
        </w:rPr>
      </w:pPr>
    </w:p>
    <w:p>
      <w:pPr>
        <w:ind w:left="660" w:hanging="646"/>
        <w:spacing w:after="0"/>
        <w:tabs>
          <w:tab w:leader="none" w:pos="66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October 3, 2026</w:t>
      </w:r>
    </w:p>
    <w:p>
      <w:pPr>
        <w:spacing w:after="0" w:line="8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95" w:lineRule="exact"/>
        <w:rPr>
          <w:sz w:val="24"/>
          <w:szCs w:val="24"/>
          <w:color w:val="auto"/>
        </w:rPr>
      </w:pPr>
    </w:p>
    <w:p>
      <w:pPr>
        <w:ind w:left="660" w:hanging="646"/>
        <w:spacing w:after="0"/>
        <w:tabs>
          <w:tab w:leader="none" w:pos="66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32" w:lineRule="exact"/>
        <w:rPr>
          <w:sz w:val="24"/>
          <w:szCs w:val="24"/>
          <w:color w:val="auto"/>
        </w:rPr>
      </w:pPr>
    </w:p>
    <w:p>
      <w:pPr>
        <w:ind w:left="4140"/>
        <w:spacing w:after="0"/>
        <w:tabs>
          <w:tab w:leader="none" w:pos="67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01-13697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2901315</wp:posOffset>
            </wp:positionH>
            <wp:positionV relativeFrom="paragraph">
              <wp:posOffset>118110</wp:posOffset>
            </wp:positionV>
            <wp:extent cx="1347470" cy="608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7470"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4040" w:type="dxa"/>
            <w:vAlign w:val="bottom"/>
            <w:gridSpan w:val="2"/>
          </w:tcPr>
          <w:p>
            <w:pPr>
              <w:jc w:val="right"/>
              <w:ind w:right="70"/>
              <w:spacing w:after="0"/>
              <w:rPr>
                <w:sz w:val="20"/>
                <w:szCs w:val="20"/>
                <w:color w:val="auto"/>
              </w:rPr>
            </w:pPr>
            <w:r>
              <w:rPr>
                <w:rFonts w:ascii="Times New Roman" w:cs="Times New Roman" w:eastAsia="Times New Roman" w:hAnsi="Times New Roman"/>
                <w:sz w:val="16"/>
                <w:szCs w:val="16"/>
                <w:color w:val="auto"/>
              </w:rPr>
              <w:t>__________________________________________</w:t>
            </w:r>
          </w:p>
        </w:tc>
        <w:tc>
          <w:tcPr>
            <w:tcW w:w="3740" w:type="dxa"/>
            <w:vAlign w:val="bottom"/>
          </w:tcPr>
          <w:p>
            <w:pPr>
              <w:spacing w:after="0"/>
              <w:rPr>
                <w:sz w:val="18"/>
                <w:szCs w:val="18"/>
                <w:color w:val="auto"/>
              </w:rPr>
            </w:pPr>
          </w:p>
        </w:tc>
      </w:tr>
      <w:tr>
        <w:trPr>
          <w:trHeight w:val="202"/>
        </w:trPr>
        <w:tc>
          <w:tcPr>
            <w:tcW w:w="3440" w:type="dxa"/>
            <w:vAlign w:val="bottom"/>
          </w:tcPr>
          <w:p>
            <w:pPr>
              <w:spacing w:after="0"/>
              <w:rPr>
                <w:sz w:val="17"/>
                <w:szCs w:val="17"/>
                <w:color w:val="auto"/>
              </w:rPr>
            </w:pPr>
          </w:p>
        </w:tc>
        <w:tc>
          <w:tcPr>
            <w:tcW w:w="4040" w:type="dxa"/>
            <w:vAlign w:val="bottom"/>
            <w:gridSpan w:val="2"/>
          </w:tcPr>
          <w:p>
            <w:pPr>
              <w:jc w:val="center"/>
              <w:ind w:left="265"/>
              <w:spacing w:after="0"/>
              <w:rPr>
                <w:sz w:val="20"/>
                <w:szCs w:val="20"/>
                <w:color w:val="auto"/>
              </w:rPr>
            </w:pPr>
            <w:r>
              <w:rPr>
                <w:rFonts w:ascii="Times New Roman" w:cs="Times New Roman" w:eastAsia="Times New Roman" w:hAnsi="Times New Roman"/>
                <w:sz w:val="15"/>
                <w:szCs w:val="15"/>
                <w:b w:val="1"/>
                <w:bCs w:val="1"/>
                <w:color w:val="auto"/>
                <w:w w:val="96"/>
              </w:rPr>
              <w:t>MOHAWK INDUSTRIES, INC.</w:t>
            </w:r>
          </w:p>
        </w:tc>
        <w:tc>
          <w:tcPr>
            <w:tcW w:w="3740" w:type="dxa"/>
            <w:vAlign w:val="bottom"/>
          </w:tcPr>
          <w:p>
            <w:pPr>
              <w:spacing w:after="0"/>
              <w:rPr>
                <w:sz w:val="17"/>
                <w:szCs w:val="17"/>
                <w:color w:val="auto"/>
              </w:rPr>
            </w:pPr>
          </w:p>
        </w:tc>
      </w:tr>
      <w:tr>
        <w:trPr>
          <w:trHeight w:val="206"/>
        </w:trPr>
        <w:tc>
          <w:tcPr>
            <w:tcW w:w="3440" w:type="dxa"/>
            <w:vAlign w:val="bottom"/>
          </w:tcPr>
          <w:p>
            <w:pPr>
              <w:spacing w:after="0"/>
              <w:rPr>
                <w:sz w:val="17"/>
                <w:szCs w:val="17"/>
                <w:color w:val="auto"/>
              </w:rPr>
            </w:pPr>
          </w:p>
        </w:tc>
        <w:tc>
          <w:tcPr>
            <w:tcW w:w="4040" w:type="dxa"/>
            <w:vAlign w:val="bottom"/>
            <w:gridSpan w:val="2"/>
          </w:tcPr>
          <w:p>
            <w:pPr>
              <w:jc w:val="center"/>
              <w:ind w:left="265"/>
              <w:spacing w:after="0"/>
              <w:rPr>
                <w:sz w:val="20"/>
                <w:szCs w:val="20"/>
                <w:color w:val="auto"/>
              </w:rPr>
            </w:pPr>
            <w:r>
              <w:rPr>
                <w:rFonts w:ascii="Times New Roman" w:cs="Times New Roman" w:eastAsia="Times New Roman" w:hAnsi="Times New Roman"/>
                <w:sz w:val="15"/>
                <w:szCs w:val="15"/>
                <w:b w:val="1"/>
                <w:bCs w:val="1"/>
                <w:color w:val="auto"/>
                <w:w w:val="97"/>
              </w:rPr>
              <w:t>(Exact name of registrant as specified in its charter)</w:t>
            </w:r>
          </w:p>
        </w:tc>
        <w:tc>
          <w:tcPr>
            <w:tcW w:w="3740" w:type="dxa"/>
            <w:vAlign w:val="bottom"/>
          </w:tcPr>
          <w:p>
            <w:pPr>
              <w:spacing w:after="0"/>
              <w:rPr>
                <w:sz w:val="17"/>
                <w:szCs w:val="17"/>
                <w:color w:val="auto"/>
              </w:rPr>
            </w:pPr>
          </w:p>
        </w:tc>
      </w:tr>
      <w:tr>
        <w:trPr>
          <w:trHeight w:val="303"/>
        </w:trPr>
        <w:tc>
          <w:tcPr>
            <w:tcW w:w="3440" w:type="dxa"/>
            <w:vAlign w:val="bottom"/>
          </w:tcPr>
          <w:p>
            <w:pPr>
              <w:jc w:val="center"/>
              <w:ind w:left="512"/>
              <w:spacing w:after="0"/>
              <w:rPr>
                <w:sz w:val="20"/>
                <w:szCs w:val="20"/>
                <w:color w:val="auto"/>
              </w:rPr>
            </w:pPr>
            <w:r>
              <w:rPr>
                <w:rFonts w:ascii="Times New Roman" w:cs="Times New Roman" w:eastAsia="Times New Roman" w:hAnsi="Times New Roman"/>
                <w:sz w:val="15"/>
                <w:szCs w:val="15"/>
                <w:b w:val="1"/>
                <w:bCs w:val="1"/>
                <w:color w:val="auto"/>
                <w:w w:val="95"/>
              </w:rPr>
              <w:t>Delaware</w:t>
            </w:r>
          </w:p>
        </w:tc>
        <w:tc>
          <w:tcPr>
            <w:tcW w:w="15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740" w:type="dxa"/>
            <w:vAlign w:val="bottom"/>
          </w:tcPr>
          <w:p>
            <w:pPr>
              <w:jc w:val="right"/>
              <w:ind w:right="1952"/>
              <w:spacing w:after="0"/>
              <w:rPr>
                <w:sz w:val="20"/>
                <w:szCs w:val="20"/>
                <w:color w:val="auto"/>
              </w:rPr>
            </w:pPr>
            <w:r>
              <w:rPr>
                <w:rFonts w:ascii="Times New Roman" w:cs="Times New Roman" w:eastAsia="Times New Roman" w:hAnsi="Times New Roman"/>
                <w:sz w:val="15"/>
                <w:szCs w:val="15"/>
                <w:b w:val="1"/>
                <w:bCs w:val="1"/>
                <w:color w:val="auto"/>
              </w:rPr>
              <w:t>52-1604305</w:t>
            </w:r>
          </w:p>
        </w:tc>
      </w:tr>
      <w:tr>
        <w:trPr>
          <w:trHeight w:val="174"/>
        </w:trPr>
        <w:tc>
          <w:tcPr>
            <w:tcW w:w="3440" w:type="dxa"/>
            <w:vAlign w:val="bottom"/>
          </w:tcPr>
          <w:p>
            <w:pPr>
              <w:jc w:val="center"/>
              <w:ind w:left="512"/>
              <w:spacing w:after="0"/>
              <w:rPr>
                <w:sz w:val="20"/>
                <w:szCs w:val="20"/>
                <w:color w:val="auto"/>
              </w:rPr>
            </w:pPr>
            <w:r>
              <w:rPr>
                <w:rFonts w:ascii="Times New Roman" w:cs="Times New Roman" w:eastAsia="Times New Roman" w:hAnsi="Times New Roman"/>
                <w:sz w:val="13"/>
                <w:szCs w:val="13"/>
                <w:b w:val="1"/>
                <w:bCs w:val="1"/>
                <w:color w:val="auto"/>
                <w:w w:val="99"/>
              </w:rPr>
              <w:t>(State or other jurisdiction of</w:t>
            </w:r>
          </w:p>
        </w:tc>
        <w:tc>
          <w:tcPr>
            <w:tcW w:w="15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740" w:type="dxa"/>
            <w:vAlign w:val="bottom"/>
          </w:tcPr>
          <w:p>
            <w:pPr>
              <w:jc w:val="center"/>
              <w:ind w:right="932"/>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69"/>
        </w:trPr>
        <w:tc>
          <w:tcPr>
            <w:tcW w:w="3440" w:type="dxa"/>
            <w:vAlign w:val="bottom"/>
          </w:tcPr>
          <w:p>
            <w:pPr>
              <w:jc w:val="center"/>
              <w:ind w:left="492"/>
              <w:spacing w:after="0"/>
              <w:rPr>
                <w:sz w:val="20"/>
                <w:szCs w:val="20"/>
                <w:color w:val="auto"/>
              </w:rPr>
            </w:pPr>
            <w:r>
              <w:rPr>
                <w:rFonts w:ascii="Times New Roman" w:cs="Times New Roman" w:eastAsia="Times New Roman" w:hAnsi="Times New Roman"/>
                <w:sz w:val="13"/>
                <w:szCs w:val="13"/>
                <w:b w:val="1"/>
                <w:bCs w:val="1"/>
                <w:color w:val="auto"/>
                <w:w w:val="98"/>
              </w:rPr>
              <w:t>incorporation or organization)</w:t>
            </w:r>
          </w:p>
        </w:tc>
        <w:tc>
          <w:tcPr>
            <w:tcW w:w="15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740" w:type="dxa"/>
            <w:vAlign w:val="bottom"/>
          </w:tcPr>
          <w:p>
            <w:pPr>
              <w:jc w:val="center"/>
              <w:ind w:right="932"/>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70"/>
        </w:trPr>
        <w:tc>
          <w:tcPr>
            <w:tcW w:w="3440" w:type="dxa"/>
            <w:vAlign w:val="bottom"/>
          </w:tcPr>
          <w:p>
            <w:pPr>
              <w:jc w:val="center"/>
              <w:ind w:left="492"/>
              <w:spacing w:after="0"/>
              <w:rPr>
                <w:sz w:val="20"/>
                <w:szCs w:val="20"/>
                <w:color w:val="auto"/>
              </w:rPr>
            </w:pPr>
            <w:r>
              <w:rPr>
                <w:rFonts w:ascii="Times New Roman" w:cs="Times New Roman" w:eastAsia="Times New Roman" w:hAnsi="Times New Roman"/>
                <w:sz w:val="15"/>
                <w:szCs w:val="15"/>
                <w:b w:val="1"/>
                <w:bCs w:val="1"/>
                <w:color w:val="auto"/>
                <w:w w:val="97"/>
              </w:rPr>
              <w:t>160 S. Industrial Blvd.</w:t>
            </w:r>
          </w:p>
        </w:tc>
        <w:tc>
          <w:tcPr>
            <w:tcW w:w="1540" w:type="dxa"/>
            <w:vAlign w:val="bottom"/>
          </w:tcPr>
          <w:p>
            <w:pPr>
              <w:ind w:left="840"/>
              <w:spacing w:after="0"/>
              <w:rPr>
                <w:sz w:val="20"/>
                <w:szCs w:val="20"/>
                <w:color w:val="auto"/>
              </w:rPr>
            </w:pPr>
            <w:r>
              <w:rPr>
                <w:rFonts w:ascii="Times New Roman" w:cs="Times New Roman" w:eastAsia="Times New Roman" w:hAnsi="Times New Roman"/>
                <w:sz w:val="15"/>
                <w:szCs w:val="15"/>
                <w:b w:val="1"/>
                <w:bCs w:val="1"/>
                <w:color w:val="auto"/>
              </w:rPr>
              <w:t>Calhoun</w:t>
            </w:r>
          </w:p>
        </w:tc>
        <w:tc>
          <w:tcPr>
            <w:tcW w:w="2500" w:type="dxa"/>
            <w:vAlign w:val="bottom"/>
          </w:tcPr>
          <w:p>
            <w:pPr>
              <w:jc w:val="center"/>
              <w:ind w:right="1210"/>
              <w:spacing w:after="0"/>
              <w:rPr>
                <w:sz w:val="20"/>
                <w:szCs w:val="20"/>
                <w:color w:val="auto"/>
              </w:rPr>
            </w:pPr>
            <w:r>
              <w:rPr>
                <w:rFonts w:ascii="Times New Roman" w:cs="Times New Roman" w:eastAsia="Times New Roman" w:hAnsi="Times New Roman"/>
                <w:sz w:val="15"/>
                <w:szCs w:val="15"/>
                <w:b w:val="1"/>
                <w:bCs w:val="1"/>
                <w:color w:val="auto"/>
                <w:w w:val="96"/>
              </w:rPr>
              <w:t>Georgia</w:t>
            </w:r>
          </w:p>
        </w:tc>
        <w:tc>
          <w:tcPr>
            <w:tcW w:w="3740" w:type="dxa"/>
            <w:vAlign w:val="bottom"/>
          </w:tcPr>
          <w:p>
            <w:pPr>
              <w:jc w:val="right"/>
              <w:ind w:right="2132"/>
              <w:spacing w:after="0"/>
              <w:rPr>
                <w:sz w:val="20"/>
                <w:szCs w:val="20"/>
                <w:color w:val="auto"/>
              </w:rPr>
            </w:pPr>
            <w:r>
              <w:rPr>
                <w:rFonts w:ascii="Times New Roman" w:cs="Times New Roman" w:eastAsia="Times New Roman" w:hAnsi="Times New Roman"/>
                <w:sz w:val="15"/>
                <w:szCs w:val="15"/>
                <w:b w:val="1"/>
                <w:bCs w:val="1"/>
                <w:color w:val="auto"/>
              </w:rPr>
              <w:t>30701</w:t>
            </w:r>
          </w:p>
        </w:tc>
      </w:tr>
      <w:tr>
        <w:trPr>
          <w:trHeight w:val="169"/>
        </w:trPr>
        <w:tc>
          <w:tcPr>
            <w:tcW w:w="3440" w:type="dxa"/>
            <w:vAlign w:val="bottom"/>
          </w:tcPr>
          <w:p>
            <w:pPr>
              <w:jc w:val="center"/>
              <w:ind w:left="512"/>
              <w:spacing w:after="0"/>
              <w:rPr>
                <w:sz w:val="20"/>
                <w:szCs w:val="20"/>
                <w:color w:val="auto"/>
              </w:rPr>
            </w:pPr>
            <w:r>
              <w:rPr>
                <w:rFonts w:ascii="Times New Roman" w:cs="Times New Roman" w:eastAsia="Times New Roman" w:hAnsi="Times New Roman"/>
                <w:sz w:val="13"/>
                <w:szCs w:val="13"/>
                <w:b w:val="1"/>
                <w:bCs w:val="1"/>
                <w:color w:val="auto"/>
                <w:w w:val="99"/>
              </w:rPr>
              <w:t>(Address of principal executive offices)</w:t>
            </w:r>
          </w:p>
        </w:tc>
        <w:tc>
          <w:tcPr>
            <w:tcW w:w="15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740" w:type="dxa"/>
            <w:vAlign w:val="bottom"/>
          </w:tcPr>
          <w:p>
            <w:pPr>
              <w:jc w:val="center"/>
              <w:ind w:right="952"/>
              <w:spacing w:after="0"/>
              <w:rPr>
                <w:sz w:val="20"/>
                <w:szCs w:val="20"/>
                <w:color w:val="auto"/>
              </w:rPr>
            </w:pPr>
            <w:r>
              <w:rPr>
                <w:rFonts w:ascii="Times New Roman" w:cs="Times New Roman" w:eastAsia="Times New Roman" w:hAnsi="Times New Roman"/>
                <w:sz w:val="13"/>
                <w:szCs w:val="13"/>
                <w:b w:val="1"/>
                <w:bCs w:val="1"/>
                <w:color w:val="auto"/>
                <w:w w:val="99"/>
              </w:rPr>
              <w:t>(Zip Code)</w:t>
            </w:r>
          </w:p>
        </w:tc>
      </w:tr>
      <w:tr>
        <w:trPr>
          <w:trHeight w:val="297"/>
        </w:trPr>
        <w:tc>
          <w:tcPr>
            <w:tcW w:w="3440" w:type="dxa"/>
            <w:vAlign w:val="bottom"/>
          </w:tcPr>
          <w:p>
            <w:pPr>
              <w:spacing w:after="0"/>
              <w:rPr>
                <w:sz w:val="24"/>
                <w:szCs w:val="24"/>
                <w:color w:val="auto"/>
              </w:rPr>
            </w:pPr>
          </w:p>
        </w:tc>
        <w:tc>
          <w:tcPr>
            <w:tcW w:w="7780" w:type="dxa"/>
            <w:vAlign w:val="bottom"/>
            <w:gridSpan w:val="3"/>
          </w:tcPr>
          <w:p>
            <w:pPr>
              <w:jc w:val="center"/>
              <w:ind w:right="3332"/>
              <w:spacing w:after="0"/>
              <w:rPr>
                <w:sz w:val="20"/>
                <w:szCs w:val="20"/>
                <w:color w:val="auto"/>
              </w:rPr>
            </w:pPr>
            <w:r>
              <w:rPr>
                <w:rFonts w:ascii="Times New Roman" w:cs="Times New Roman" w:eastAsia="Times New Roman" w:hAnsi="Times New Roman"/>
                <w:sz w:val="15"/>
                <w:szCs w:val="15"/>
                <w:b w:val="1"/>
                <w:bCs w:val="1"/>
                <w:color w:val="auto"/>
                <w:w w:val="96"/>
              </w:rPr>
              <w:t>Registrant’s telephone number, including area code: (706) 629-7721</w:t>
            </w:r>
          </w:p>
        </w:tc>
      </w:tr>
      <w:tr>
        <w:trPr>
          <w:trHeight w:val="222"/>
        </w:trPr>
        <w:tc>
          <w:tcPr>
            <w:tcW w:w="3440" w:type="dxa"/>
            <w:vAlign w:val="bottom"/>
          </w:tcPr>
          <w:p>
            <w:pPr>
              <w:spacing w:after="0"/>
              <w:rPr>
                <w:sz w:val="19"/>
                <w:szCs w:val="19"/>
                <w:color w:val="auto"/>
              </w:rPr>
            </w:pPr>
          </w:p>
        </w:tc>
        <w:tc>
          <w:tcPr>
            <w:tcW w:w="4040" w:type="dxa"/>
            <w:vAlign w:val="bottom"/>
            <w:gridSpan w:val="2"/>
          </w:tcPr>
          <w:p>
            <w:pPr>
              <w:jc w:val="center"/>
              <w:ind w:left="205"/>
              <w:spacing w:after="0"/>
              <w:rPr>
                <w:sz w:val="20"/>
                <w:szCs w:val="20"/>
                <w:color w:val="auto"/>
              </w:rPr>
            </w:pPr>
            <w:r>
              <w:rPr>
                <w:rFonts w:ascii="Times New Roman" w:cs="Times New Roman" w:eastAsia="Times New Roman" w:hAnsi="Times New Roman"/>
                <w:sz w:val="16"/>
                <w:szCs w:val="16"/>
                <w:color w:val="auto"/>
              </w:rPr>
              <w:t>__________________________________________</w:t>
            </w:r>
          </w:p>
        </w:tc>
        <w:tc>
          <w:tcPr>
            <w:tcW w:w="3740" w:type="dxa"/>
            <w:vAlign w:val="bottom"/>
          </w:tcPr>
          <w:p>
            <w:pPr>
              <w:spacing w:after="0"/>
              <w:rPr>
                <w:sz w:val="19"/>
                <w:szCs w:val="19"/>
                <w:color w:val="auto"/>
              </w:rPr>
            </w:pPr>
          </w:p>
        </w:tc>
      </w:tr>
      <w:tr>
        <w:trPr>
          <w:trHeight w:val="420"/>
        </w:trPr>
        <w:tc>
          <w:tcPr>
            <w:tcW w:w="3440" w:type="dxa"/>
            <w:vAlign w:val="bottom"/>
          </w:tcPr>
          <w:p>
            <w:pPr>
              <w:spacing w:after="0"/>
              <w:rPr>
                <w:sz w:val="24"/>
                <w:szCs w:val="24"/>
                <w:color w:val="auto"/>
              </w:rPr>
            </w:pPr>
          </w:p>
        </w:tc>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5"/>
                <w:szCs w:val="15"/>
                <w:b w:val="1"/>
                <w:bCs w:val="1"/>
                <w:color w:val="auto"/>
                <w:w w:val="96"/>
              </w:rPr>
              <w:t>Securities Registered Pursuant to Section 12(b) of the Act:</w:t>
            </w:r>
          </w:p>
        </w:tc>
        <w:tc>
          <w:tcPr>
            <w:tcW w:w="3740" w:type="dxa"/>
            <w:vAlign w:val="bottom"/>
          </w:tcPr>
          <w:p>
            <w:pPr>
              <w:spacing w:after="0"/>
              <w:rPr>
                <w:sz w:val="24"/>
                <w:szCs w:val="24"/>
                <w:color w:val="auto"/>
              </w:rPr>
            </w:pPr>
          </w:p>
        </w:tc>
      </w:tr>
      <w:tr>
        <w:trPr>
          <w:trHeight w:val="200"/>
        </w:trPr>
        <w:tc>
          <w:tcPr>
            <w:tcW w:w="3440" w:type="dxa"/>
            <w:vAlign w:val="bottom"/>
          </w:tcPr>
          <w:p>
            <w:pPr>
              <w:jc w:val="center"/>
              <w:ind w:left="1292"/>
              <w:spacing w:after="0"/>
              <w:rPr>
                <w:sz w:val="20"/>
                <w:szCs w:val="20"/>
                <w:color w:val="auto"/>
              </w:rPr>
            </w:pPr>
            <w:r>
              <w:rPr>
                <w:rFonts w:ascii="Times New Roman" w:cs="Times New Roman" w:eastAsia="Times New Roman" w:hAnsi="Times New Roman"/>
                <w:sz w:val="13"/>
                <w:szCs w:val="13"/>
                <w:b w:val="1"/>
                <w:bCs w:val="1"/>
                <w:color w:val="auto"/>
                <w:w w:val="99"/>
              </w:rPr>
              <w:t>Title of Each Class</w:t>
            </w:r>
          </w:p>
        </w:tc>
        <w:tc>
          <w:tcPr>
            <w:tcW w:w="1540" w:type="dxa"/>
            <w:vAlign w:val="bottom"/>
          </w:tcPr>
          <w:p>
            <w:pPr>
              <w:spacing w:after="0"/>
              <w:rPr>
                <w:sz w:val="17"/>
                <w:szCs w:val="17"/>
                <w:color w:val="auto"/>
              </w:rPr>
            </w:pPr>
          </w:p>
        </w:tc>
        <w:tc>
          <w:tcPr>
            <w:tcW w:w="2500" w:type="dxa"/>
            <w:vAlign w:val="bottom"/>
          </w:tcPr>
          <w:p>
            <w:pPr>
              <w:jc w:val="center"/>
              <w:ind w:right="1210"/>
              <w:spacing w:after="0"/>
              <w:rPr>
                <w:sz w:val="20"/>
                <w:szCs w:val="20"/>
                <w:color w:val="auto"/>
              </w:rPr>
            </w:pPr>
            <w:r>
              <w:rPr>
                <w:rFonts w:ascii="Times New Roman" w:cs="Times New Roman" w:eastAsia="Times New Roman" w:hAnsi="Times New Roman"/>
                <w:sz w:val="13"/>
                <w:szCs w:val="13"/>
                <w:b w:val="1"/>
                <w:bCs w:val="1"/>
                <w:color w:val="auto"/>
                <w:w w:val="99"/>
              </w:rPr>
              <w:t>Trading Symbol</w:t>
            </w:r>
          </w:p>
        </w:tc>
        <w:tc>
          <w:tcPr>
            <w:tcW w:w="3740" w:type="dxa"/>
            <w:vAlign w:val="bottom"/>
          </w:tcPr>
          <w:p>
            <w:pPr>
              <w:jc w:val="center"/>
              <w:ind w:right="1032"/>
              <w:spacing w:after="0"/>
              <w:rPr>
                <w:sz w:val="20"/>
                <w:szCs w:val="20"/>
                <w:color w:val="auto"/>
              </w:rPr>
            </w:pPr>
            <w:r>
              <w:rPr>
                <w:rFonts w:ascii="Times New Roman" w:cs="Times New Roman" w:eastAsia="Times New Roman" w:hAnsi="Times New Roman"/>
                <w:sz w:val="13"/>
                <w:szCs w:val="13"/>
                <w:b w:val="1"/>
                <w:bCs w:val="1"/>
                <w:color w:val="auto"/>
                <w:w w:val="98"/>
              </w:rPr>
              <w:t>Name of Each Exchange on Which Registered</w:t>
            </w:r>
          </w:p>
        </w:tc>
      </w:tr>
      <w:tr>
        <w:trPr>
          <w:trHeight w:val="23"/>
        </w:trPr>
        <w:tc>
          <w:tcPr>
            <w:tcW w:w="3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r>
      <w:tr>
        <w:trPr>
          <w:trHeight w:val="184"/>
        </w:trPr>
        <w:tc>
          <w:tcPr>
            <w:tcW w:w="3440" w:type="dxa"/>
            <w:vAlign w:val="bottom"/>
          </w:tcPr>
          <w:p>
            <w:pPr>
              <w:jc w:val="center"/>
              <w:ind w:left="1292"/>
              <w:spacing w:after="0"/>
              <w:rPr>
                <w:sz w:val="20"/>
                <w:szCs w:val="20"/>
                <w:color w:val="auto"/>
              </w:rPr>
            </w:pPr>
            <w:r>
              <w:rPr>
                <w:rFonts w:ascii="Times New Roman" w:cs="Times New Roman" w:eastAsia="Times New Roman" w:hAnsi="Times New Roman"/>
                <w:sz w:val="15"/>
                <w:szCs w:val="15"/>
                <w:b w:val="1"/>
                <w:bCs w:val="1"/>
                <w:color w:val="auto"/>
                <w:w w:val="97"/>
              </w:rPr>
              <w:t>Common Stock, $.01 par value</w:t>
            </w:r>
          </w:p>
        </w:tc>
        <w:tc>
          <w:tcPr>
            <w:tcW w:w="1540" w:type="dxa"/>
            <w:vAlign w:val="bottom"/>
          </w:tcPr>
          <w:p>
            <w:pPr>
              <w:spacing w:after="0"/>
              <w:rPr>
                <w:sz w:val="15"/>
                <w:szCs w:val="15"/>
                <w:color w:val="auto"/>
              </w:rPr>
            </w:pPr>
          </w:p>
        </w:tc>
        <w:tc>
          <w:tcPr>
            <w:tcW w:w="2500" w:type="dxa"/>
            <w:vAlign w:val="bottom"/>
          </w:tcPr>
          <w:p>
            <w:pPr>
              <w:jc w:val="center"/>
              <w:ind w:right="1190"/>
              <w:spacing w:after="0"/>
              <w:rPr>
                <w:sz w:val="20"/>
                <w:szCs w:val="20"/>
                <w:color w:val="auto"/>
              </w:rPr>
            </w:pPr>
            <w:r>
              <w:rPr>
                <w:rFonts w:ascii="Times New Roman" w:cs="Times New Roman" w:eastAsia="Times New Roman" w:hAnsi="Times New Roman"/>
                <w:sz w:val="15"/>
                <w:szCs w:val="15"/>
                <w:b w:val="1"/>
                <w:bCs w:val="1"/>
                <w:color w:val="auto"/>
                <w:w w:val="95"/>
              </w:rPr>
              <w:t>MHK</w:t>
            </w:r>
          </w:p>
        </w:tc>
        <w:tc>
          <w:tcPr>
            <w:tcW w:w="3740" w:type="dxa"/>
            <w:vAlign w:val="bottom"/>
          </w:tcPr>
          <w:p>
            <w:pPr>
              <w:jc w:val="center"/>
              <w:ind w:right="1032"/>
              <w:spacing w:after="0"/>
              <w:rPr>
                <w:sz w:val="20"/>
                <w:szCs w:val="20"/>
                <w:color w:val="auto"/>
              </w:rPr>
            </w:pPr>
            <w:r>
              <w:rPr>
                <w:rFonts w:ascii="Times New Roman" w:cs="Times New Roman" w:eastAsia="Times New Roman" w:hAnsi="Times New Roman"/>
                <w:sz w:val="15"/>
                <w:szCs w:val="15"/>
                <w:b w:val="1"/>
                <w:bCs w:val="1"/>
                <w:color w:val="auto"/>
                <w:w w:val="95"/>
              </w:rPr>
              <w:t>New York Stock Exchange</w:t>
            </w:r>
          </w:p>
        </w:tc>
      </w:tr>
    </w:tbl>
    <w:p>
      <w:pPr>
        <w:spacing w:after="0" w:line="124" w:lineRule="exact"/>
        <w:rPr>
          <w:sz w:val="24"/>
          <w:szCs w:val="24"/>
          <w:color w:val="auto"/>
        </w:rPr>
      </w:pPr>
    </w:p>
    <w:p>
      <w:pPr>
        <w:ind w:right="120" w:firstLine="400"/>
        <w:spacing w:after="0" w:line="20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4" w:lineRule="exact"/>
        <w:rPr>
          <w:sz w:val="24"/>
          <w:szCs w:val="24"/>
          <w:color w:val="auto"/>
        </w:rPr>
      </w:pPr>
    </w:p>
    <w:p>
      <w:pPr>
        <w:ind w:right="100" w:firstLine="400"/>
        <w:spacing w:after="0" w:line="20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3" w:lineRule="exact"/>
        <w:rPr>
          <w:sz w:val="24"/>
          <w:szCs w:val="24"/>
          <w:color w:val="auto"/>
        </w:rPr>
      </w:pPr>
    </w:p>
    <w:p>
      <w:pPr>
        <w:ind w:right="160" w:firstLine="400"/>
        <w:spacing w:after="0" w:line="31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Large accelerated filer</w:t>
            </w:r>
          </w:p>
        </w:tc>
        <w:tc>
          <w:tcPr>
            <w:tcW w:w="3580" w:type="dxa"/>
            <w:vAlign w:val="bottom"/>
          </w:tcPr>
          <w:p>
            <w:pPr>
              <w:ind w:left="440"/>
              <w:spacing w:after="0"/>
              <w:rPr>
                <w:sz w:val="20"/>
                <w:szCs w:val="20"/>
                <w:color w:val="auto"/>
              </w:rPr>
            </w:pPr>
            <w:r>
              <w:rPr>
                <w:rFonts w:ascii="Wingdings" w:cs="Wingdings" w:eastAsia="Wingdings" w:hAnsi="Wingdings"/>
                <w:sz w:val="15"/>
                <w:szCs w:val="15"/>
                <w:b w:val="1"/>
                <w:bCs w:val="1"/>
                <w:color w:val="auto"/>
              </w:rPr>
              <w:t>x</w:t>
            </w:r>
          </w:p>
        </w:tc>
        <w:tc>
          <w:tcPr>
            <w:tcW w:w="5060" w:type="dxa"/>
            <w:vAlign w:val="bottom"/>
          </w:tcPr>
          <w:p>
            <w:pPr>
              <w:ind w:left="2980"/>
              <w:spacing w:after="0"/>
              <w:rPr>
                <w:sz w:val="20"/>
                <w:szCs w:val="20"/>
                <w:color w:val="auto"/>
              </w:rPr>
            </w:pPr>
            <w:r>
              <w:rPr>
                <w:rFonts w:ascii="Times New Roman" w:cs="Times New Roman" w:eastAsia="Times New Roman" w:hAnsi="Times New Roman"/>
                <w:sz w:val="15"/>
                <w:szCs w:val="15"/>
                <w:color w:val="auto"/>
              </w:rPr>
              <w:t>Accelerated filer</w:t>
            </w:r>
          </w:p>
        </w:tc>
        <w:tc>
          <w:tcPr>
            <w:tcW w:w="860" w:type="dxa"/>
            <w:vAlign w:val="bottom"/>
          </w:tcPr>
          <w:p>
            <w:pPr>
              <w:ind w:left="480"/>
              <w:spacing w:after="0" w:line="151" w:lineRule="exact"/>
              <w:rPr>
                <w:sz w:val="20"/>
                <w:szCs w:val="20"/>
                <w:color w:val="auto"/>
              </w:rPr>
            </w:pPr>
            <w:r>
              <w:rPr>
                <w:rFonts w:ascii="MS PGothic" w:cs="MS PGothic" w:eastAsia="MS PGothic" w:hAnsi="MS PGothic"/>
                <w:sz w:val="15"/>
                <w:szCs w:val="15"/>
                <w:color w:val="auto"/>
              </w:rPr>
              <w:t>☐</w:t>
            </w:r>
          </w:p>
        </w:tc>
      </w:tr>
      <w:tr>
        <w:trPr>
          <w:trHeight w:val="245"/>
        </w:trPr>
        <w:tc>
          <w:tcPr>
            <w:tcW w:w="1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Non-accelerated filer</w:t>
            </w:r>
          </w:p>
        </w:tc>
        <w:tc>
          <w:tcPr>
            <w:tcW w:w="3580" w:type="dxa"/>
            <w:vAlign w:val="bottom"/>
          </w:tcPr>
          <w:p>
            <w:pPr>
              <w:ind w:left="440"/>
              <w:spacing w:after="0" w:line="151" w:lineRule="exact"/>
              <w:rPr>
                <w:sz w:val="20"/>
                <w:szCs w:val="20"/>
                <w:color w:val="auto"/>
              </w:rPr>
            </w:pPr>
            <w:r>
              <w:rPr>
                <w:rFonts w:ascii="MS PGothic" w:cs="MS PGothic" w:eastAsia="MS PGothic" w:hAnsi="MS PGothic"/>
                <w:sz w:val="15"/>
                <w:szCs w:val="15"/>
                <w:color w:val="auto"/>
              </w:rPr>
              <w:t>☐</w:t>
            </w:r>
          </w:p>
        </w:tc>
        <w:tc>
          <w:tcPr>
            <w:tcW w:w="5060" w:type="dxa"/>
            <w:vAlign w:val="bottom"/>
          </w:tcPr>
          <w:p>
            <w:pPr>
              <w:ind w:left="298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860" w:type="dxa"/>
            <w:vAlign w:val="bottom"/>
          </w:tcPr>
          <w:p>
            <w:pPr>
              <w:ind w:left="480"/>
              <w:spacing w:after="0" w:line="151" w:lineRule="exact"/>
              <w:rPr>
                <w:sz w:val="20"/>
                <w:szCs w:val="20"/>
                <w:color w:val="auto"/>
              </w:rPr>
            </w:pPr>
            <w:r>
              <w:rPr>
                <w:rFonts w:ascii="MS PGothic" w:cs="MS PGothic" w:eastAsia="MS PGothic" w:hAnsi="MS PGothic"/>
                <w:sz w:val="15"/>
                <w:szCs w:val="15"/>
                <w:color w:val="auto"/>
              </w:rPr>
              <w:t>☐</w:t>
            </w:r>
          </w:p>
        </w:tc>
      </w:tr>
      <w:tr>
        <w:trPr>
          <w:trHeight w:val="279"/>
        </w:trPr>
        <w:tc>
          <w:tcPr>
            <w:tcW w:w="17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060" w:type="dxa"/>
            <w:vAlign w:val="bottom"/>
          </w:tcPr>
          <w:p>
            <w:pPr>
              <w:ind w:left="2980"/>
              <w:spacing w:after="0"/>
              <w:rPr>
                <w:sz w:val="20"/>
                <w:szCs w:val="20"/>
                <w:color w:val="auto"/>
              </w:rPr>
            </w:pPr>
            <w:r>
              <w:rPr>
                <w:rFonts w:ascii="Times New Roman" w:cs="Times New Roman" w:eastAsia="Times New Roman" w:hAnsi="Times New Roman"/>
                <w:sz w:val="15"/>
                <w:szCs w:val="15"/>
                <w:color w:val="auto"/>
              </w:rPr>
              <w:t>Emerging growth company</w:t>
            </w:r>
          </w:p>
        </w:tc>
        <w:tc>
          <w:tcPr>
            <w:tcW w:w="860" w:type="dxa"/>
            <w:vAlign w:val="bottom"/>
          </w:tcPr>
          <w:p>
            <w:pPr>
              <w:ind w:left="480"/>
              <w:spacing w:after="0" w:line="151" w:lineRule="exact"/>
              <w:rPr>
                <w:sz w:val="20"/>
                <w:szCs w:val="20"/>
                <w:color w:val="auto"/>
              </w:rPr>
            </w:pPr>
            <w:r>
              <w:rPr>
                <w:rFonts w:ascii="MS PGothic" w:cs="MS PGothic" w:eastAsia="MS PGothic" w:hAnsi="MS PGothic"/>
                <w:sz w:val="15"/>
                <w:szCs w:val="15"/>
                <w:color w:val="auto"/>
              </w:rPr>
              <w:t>☐</w:t>
            </w:r>
          </w:p>
        </w:tc>
      </w:tr>
      <w:tr>
        <w:trPr>
          <w:trHeight w:val="848"/>
        </w:trPr>
        <w:tc>
          <w:tcPr>
            <w:tcW w:w="176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7124065</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32"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ind w:firstLine="400"/>
        <w:spacing w:after="0" w:line="203"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0" w:lineRule="exact"/>
        <w:rPr>
          <w:sz w:val="20"/>
          <w:szCs w:val="20"/>
          <w:color w:val="auto"/>
        </w:rPr>
      </w:pPr>
    </w:p>
    <w:p>
      <w:pPr>
        <w:ind w:left="400"/>
        <w:spacing w:after="0" w:line="173" w:lineRule="exact"/>
        <w:tabs>
          <w:tab w:leader="none" w:pos="7120" w:val="left"/>
          <w:tab w:leader="none" w:pos="770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Wingdings" w:cs="Wingdings" w:eastAsia="Wingdings" w:hAnsi="Wingdings"/>
          <w:sz w:val="15"/>
          <w:szCs w:val="15"/>
          <w:b w:val="1"/>
          <w:bCs w:val="1"/>
          <w:color w:val="auto"/>
        </w:rPr>
        <w:t>x</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The number of shares outstanding of the issuer’s common stock as of October 29, 2026, the latest practicable date, is as follows: 58,133,466 shares of common stock, $.01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516890</wp:posOffset>
            </wp:positionV>
            <wp:extent cx="717169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180"/>
          </w:cols>
          <w:pgMar w:left="320" w:top="135"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center"/>
        <w:ind w:left="1040"/>
        <w:spacing w:after="0"/>
        <w:rPr>
          <w:sz w:val="20"/>
          <w:szCs w:val="20"/>
          <w:color w:val="auto"/>
        </w:rPr>
      </w:pPr>
      <w:r>
        <w:rPr>
          <w:rFonts w:ascii="Times New Roman" w:cs="Times New Roman" w:eastAsia="Times New Roman" w:hAnsi="Times New Roman"/>
          <w:sz w:val="16"/>
          <w:szCs w:val="16"/>
          <w:b w:val="1"/>
          <w:bCs w:val="1"/>
          <w:color w:val="auto"/>
        </w:rPr>
        <w:t>MOHAWK INDUSTRIES, INC.</w:t>
      </w:r>
    </w:p>
    <w:p>
      <w:pPr>
        <w:spacing w:after="0" w:line="34" w:lineRule="exact"/>
        <w:rPr>
          <w:sz w:val="20"/>
          <w:szCs w:val="20"/>
          <w:color w:val="auto"/>
        </w:rPr>
      </w:pPr>
    </w:p>
    <w:p>
      <w:pPr>
        <w:jc w:val="center"/>
        <w:ind w:left="1040"/>
        <w:spacing w:after="0"/>
        <w:rPr>
          <w:sz w:val="20"/>
          <w:szCs w:val="20"/>
          <w:color w:val="auto"/>
        </w:rPr>
      </w:pPr>
      <w:r>
        <w:rPr>
          <w:rFonts w:ascii="Times New Roman" w:cs="Times New Roman" w:eastAsia="Times New Roman" w:hAnsi="Times New Roman"/>
          <w:sz w:val="16"/>
          <w:szCs w:val="16"/>
          <w:b w:val="1"/>
          <w:bCs w:val="1"/>
          <w:color w:val="auto"/>
        </w:rPr>
        <w:t>INDEX</w:t>
      </w:r>
    </w:p>
    <w:p>
      <w:pPr>
        <w:spacing w:after="0" w:line="200" w:lineRule="exact"/>
        <w:rPr>
          <w:sz w:val="20"/>
          <w:szCs w:val="20"/>
          <w:color w:val="auto"/>
        </w:rPr>
      </w:pP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00" w:type="dxa"/>
            <w:vAlign w:val="bottom"/>
          </w:tcPr>
          <w:p>
            <w:pPr>
              <w:spacing w:after="0"/>
              <w:rPr>
                <w:sz w:val="16"/>
                <w:szCs w:val="16"/>
                <w:color w:val="auto"/>
              </w:rPr>
            </w:pPr>
          </w:p>
        </w:tc>
        <w:tc>
          <w:tcPr>
            <w:tcW w:w="92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Forward Looking Statements</w:t>
            </w: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Part I.</w:t>
            </w:r>
          </w:p>
        </w:tc>
        <w:tc>
          <w:tcPr>
            <w:tcW w:w="3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900" w:type="dxa"/>
            <w:vAlign w:val="bottom"/>
            <w:vMerge w:val="continue"/>
          </w:tcPr>
          <w:p>
            <w:pPr>
              <w:spacing w:after="0"/>
              <w:rPr>
                <w:sz w:val="24"/>
                <w:szCs w:val="24"/>
                <w:color w:val="auto"/>
              </w:rPr>
            </w:pPr>
          </w:p>
        </w:tc>
        <w:tc>
          <w:tcPr>
            <w:tcW w:w="92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FINANCIAL INFORMATION</w:t>
            </w: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Item 1.</w:t>
            </w:r>
          </w:p>
        </w:tc>
        <w:tc>
          <w:tcPr>
            <w:tcW w:w="32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900" w:type="dxa"/>
            <w:vAlign w:val="bottom"/>
            <w:vMerge w:val="continue"/>
          </w:tcPr>
          <w:p>
            <w:pPr>
              <w:spacing w:after="0"/>
              <w:rPr>
                <w:sz w:val="24"/>
                <w:szCs w:val="24"/>
                <w:color w:val="auto"/>
              </w:rPr>
            </w:pPr>
          </w:p>
        </w:tc>
        <w:tc>
          <w:tcPr>
            <w:tcW w:w="21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Financial Statements (unaudited)</w:t>
            </w:r>
          </w:p>
        </w:tc>
        <w:tc>
          <w:tcPr>
            <w:tcW w:w="7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900" w:type="dxa"/>
            <w:vAlign w:val="bottom"/>
          </w:tcPr>
          <w:p>
            <w:pPr>
              <w:spacing w:after="0"/>
              <w:rPr>
                <w:sz w:val="24"/>
                <w:szCs w:val="24"/>
                <w:color w:val="auto"/>
              </w:rPr>
            </w:pPr>
          </w:p>
        </w:tc>
        <w:tc>
          <w:tcPr>
            <w:tcW w:w="8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Condensed Consolidated Statements of Operations for the three and nine months ended October 3, 2026 and September 27, 2025</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900" w:type="dxa"/>
            <w:vAlign w:val="bottom"/>
          </w:tcPr>
          <w:p>
            <w:pPr>
              <w:spacing w:after="0"/>
              <w:rPr>
                <w:sz w:val="24"/>
                <w:szCs w:val="24"/>
                <w:color w:val="auto"/>
              </w:rPr>
            </w:pPr>
          </w:p>
        </w:tc>
        <w:tc>
          <w:tcPr>
            <w:tcW w:w="92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Condensed Consolidated Statements of Comprehensive Income (Loss) for the three and nine months ended October 3, 2026 and September 27,</w:t>
            </w: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3"/>
              </w:rPr>
              <w:t>2025</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25400</wp:posOffset>
            </wp:positionV>
            <wp:extent cx="5162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255" cy="7620"/>
                    </a:xfrm>
                    <a:prstGeom prst="rect">
                      <a:avLst/>
                    </a:prstGeom>
                    <a:noFill/>
                  </pic:spPr>
                </pic:pic>
              </a:graphicData>
            </a:graphic>
          </wp:anchor>
        </w:drawing>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u w:val="single" w:color="auto"/>
          <w:color w:val="0000FF"/>
        </w:rPr>
        <w:t>4</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u w:val="single" w:color="auto"/>
          <w:color w:val="0000FF"/>
        </w:rPr>
        <w:t>5</w:t>
      </w:r>
    </w:p>
    <w:p>
      <w:pPr>
        <w:spacing w:after="0" w:line="1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u w:val="single" w:color="auto"/>
          <w:color w:val="0000FF"/>
        </w:rPr>
        <w:t>6</w:t>
      </w:r>
    </w:p>
    <w:p>
      <w:pPr>
        <w:spacing w:after="0" w:line="424" w:lineRule="exact"/>
        <w:rPr>
          <w:sz w:val="20"/>
          <w:szCs w:val="20"/>
          <w:color w:val="auto"/>
        </w:rPr>
      </w:pPr>
    </w:p>
    <w:p>
      <w:pPr>
        <w:sectPr>
          <w:pgSz w:w="11900" w:h="16838" w:orient="portrait"/>
          <w:cols w:equalWidth="0" w:num="2">
            <w:col w:w="10200" w:space="380"/>
            <w:col w:w="620"/>
          </w:cols>
          <w:pgMar w:left="320" w:top="13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Item 2.</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Item 3.</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Item 4.</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Part II.</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Item 1.</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Item 1A.</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Item 2.</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Item 3.</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Item 4.</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Item 5.</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Item 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660" w:type="dxa"/>
            <w:vAlign w:val="bottom"/>
            <w:gridSpan w:val="10"/>
            <w:vMerge w:val="restart"/>
          </w:tcPr>
          <w:p>
            <w:pPr>
              <w:spacing w:after="0"/>
              <w:rPr>
                <w:sz w:val="20"/>
                <w:szCs w:val="20"/>
                <w:color w:val="auto"/>
              </w:rPr>
            </w:pPr>
            <w:r>
              <w:rPr>
                <w:rFonts w:ascii="Times New Roman" w:cs="Times New Roman" w:eastAsia="Times New Roman" w:hAnsi="Times New Roman"/>
                <w:sz w:val="16"/>
                <w:szCs w:val="16"/>
                <w:color w:val="0000FF"/>
              </w:rPr>
              <w:t>Condensed Consolidated Balance Sheets as of October 3, 2026 and December 31, 2025</w:t>
            </w:r>
          </w:p>
        </w:tc>
        <w:tc>
          <w:tcPr>
            <w:tcW w:w="3280" w:type="dxa"/>
            <w:vAlign w:val="bottom"/>
            <w:gridSpan w:val="3"/>
            <w:vMerge w:val="restart"/>
          </w:tcPr>
          <w:p>
            <w:pPr>
              <w:spacing w:after="0"/>
              <w:rPr>
                <w:sz w:val="16"/>
                <w:szCs w:val="16"/>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5660" w:type="dxa"/>
            <w:vAlign w:val="bottom"/>
            <w:tcBorders>
              <w:bottom w:val="single" w:sz="8" w:color="0000FF"/>
            </w:tcBorders>
            <w:gridSpan w:val="10"/>
            <w:vMerge w:val="continue"/>
          </w:tcPr>
          <w:p>
            <w:pPr>
              <w:spacing w:after="0"/>
              <w:rPr>
                <w:sz w:val="4"/>
                <w:szCs w:val="4"/>
                <w:color w:val="auto"/>
              </w:rPr>
            </w:pPr>
          </w:p>
        </w:tc>
        <w:tc>
          <w:tcPr>
            <w:tcW w:w="3280" w:type="dxa"/>
            <w:vAlign w:val="bottom"/>
            <w:gridSpan w:val="3"/>
            <w:vMerge w:val="continue"/>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bottom w:val="single" w:sz="8" w:color="0000FF"/>
            </w:tcBorders>
            <w:vMerge w:val="restart"/>
          </w:tcPr>
          <w:p>
            <w:pPr>
              <w:jc w:val="right"/>
              <w:spacing w:after="0"/>
              <w:rPr>
                <w:sz w:val="20"/>
                <w:szCs w:val="20"/>
                <w:color w:val="auto"/>
              </w:rPr>
            </w:pPr>
            <w:r>
              <w:rPr>
                <w:rFonts w:ascii="Times New Roman" w:cs="Times New Roman" w:eastAsia="Times New Roman" w:hAnsi="Times New Roman"/>
                <w:sz w:val="11"/>
                <w:szCs w:val="11"/>
                <w:color w:val="0000FF"/>
                <w:w w:val="71"/>
              </w:rPr>
              <w:t>8</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89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 for the nine months ended October 3, 2026 and September 27, 2025</w:t>
            </w:r>
          </w:p>
        </w:tc>
        <w:tc>
          <w:tcPr>
            <w:tcW w:w="118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60" w:type="dxa"/>
            <w:vAlign w:val="bottom"/>
            <w:tcBorders>
              <w:bottom w:val="single" w:sz="8" w:color="0000FF"/>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17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80" w:type="dxa"/>
            <w:vAlign w:val="bottom"/>
            <w:tcBorders>
              <w:bottom w:val="single" w:sz="8" w:color="0000FF"/>
            </w:tcBorders>
            <w:gridSpan w:val="2"/>
          </w:tcPr>
          <w:p>
            <w:pPr>
              <w:spacing w:after="0" w:line="20" w:lineRule="exact"/>
              <w:rPr>
                <w:sz w:val="1"/>
                <w:szCs w:val="1"/>
                <w:color w:val="auto"/>
              </w:rPr>
            </w:pPr>
          </w:p>
        </w:tc>
        <w:tc>
          <w:tcPr>
            <w:tcW w:w="1960" w:type="dxa"/>
            <w:vAlign w:val="bottom"/>
            <w:tcBorders>
              <w:bottom w:val="single" w:sz="8" w:color="0000FF"/>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89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Notes to the Condensed Consolidated Financial Statements</w:t>
            </w:r>
          </w:p>
        </w:tc>
        <w:tc>
          <w:tcPr>
            <w:tcW w:w="136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000FF"/>
              </w:rPr>
              <w:t>9</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9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36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000FF"/>
              </w:rPr>
              <w:t>28</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392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880" w:type="dxa"/>
            <w:vAlign w:val="bottom"/>
            <w:gridSpan w:val="2"/>
          </w:tcPr>
          <w:p>
            <w:pPr>
              <w:spacing w:after="0"/>
              <w:rPr>
                <w:sz w:val="24"/>
                <w:szCs w:val="24"/>
                <w:color w:val="auto"/>
              </w:rPr>
            </w:pPr>
          </w:p>
        </w:tc>
        <w:tc>
          <w:tcPr>
            <w:tcW w:w="3140" w:type="dxa"/>
            <w:vAlign w:val="bottom"/>
            <w:gridSpan w:val="2"/>
          </w:tcPr>
          <w:p>
            <w:pPr>
              <w:spacing w:after="0"/>
              <w:rPr>
                <w:sz w:val="24"/>
                <w:szCs w:val="24"/>
                <w:color w:val="auto"/>
              </w:rPr>
            </w:pPr>
          </w:p>
        </w:tc>
        <w:tc>
          <w:tcPr>
            <w:tcW w:w="136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000FF"/>
              </w:rPr>
              <w:t>37</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16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9"/>
              </w:rPr>
              <w:t>Controls and Procedures</w:t>
            </w:r>
          </w:p>
        </w:tc>
        <w:tc>
          <w:tcPr>
            <w:tcW w:w="2320" w:type="dxa"/>
            <w:vAlign w:val="bottom"/>
            <w:gridSpan w:val="5"/>
          </w:tcPr>
          <w:p>
            <w:pPr>
              <w:spacing w:after="0"/>
              <w:rPr>
                <w:sz w:val="24"/>
                <w:szCs w:val="24"/>
                <w:color w:val="auto"/>
              </w:rPr>
            </w:pPr>
          </w:p>
        </w:tc>
        <w:tc>
          <w:tcPr>
            <w:tcW w:w="5020" w:type="dxa"/>
            <w:vAlign w:val="bottom"/>
            <w:gridSpan w:val="4"/>
          </w:tcPr>
          <w:p>
            <w:pPr>
              <w:spacing w:after="0"/>
              <w:rPr>
                <w:sz w:val="24"/>
                <w:szCs w:val="24"/>
                <w:color w:val="auto"/>
              </w:rPr>
            </w:pPr>
          </w:p>
        </w:tc>
        <w:tc>
          <w:tcPr>
            <w:tcW w:w="136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000FF"/>
              </w:rPr>
              <w:t>38</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1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9"/>
              </w:rPr>
              <w:t>OTHER INFORMATION</w:t>
            </w:r>
          </w:p>
        </w:tc>
        <w:tc>
          <w:tcPr>
            <w:tcW w:w="7240" w:type="dxa"/>
            <w:vAlign w:val="bottom"/>
            <w:gridSpan w:val="8"/>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89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36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000FF"/>
              </w:rPr>
              <w:t>39</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9"/>
              </w:rPr>
              <w:t>Risk Factors</w:t>
            </w:r>
          </w:p>
        </w:tc>
        <w:tc>
          <w:tcPr>
            <w:tcW w:w="360" w:type="dxa"/>
            <w:vAlign w:val="bottom"/>
          </w:tcPr>
          <w:p>
            <w:pPr>
              <w:spacing w:after="0"/>
              <w:rPr>
                <w:sz w:val="24"/>
                <w:szCs w:val="24"/>
                <w:color w:val="auto"/>
              </w:rPr>
            </w:pPr>
          </w:p>
        </w:tc>
        <w:tc>
          <w:tcPr>
            <w:tcW w:w="7760" w:type="dxa"/>
            <w:vAlign w:val="bottom"/>
            <w:gridSpan w:val="10"/>
          </w:tcPr>
          <w:p>
            <w:pPr>
              <w:spacing w:after="0"/>
              <w:rPr>
                <w:sz w:val="24"/>
                <w:szCs w:val="24"/>
                <w:color w:val="auto"/>
              </w:rPr>
            </w:pPr>
          </w:p>
        </w:tc>
        <w:tc>
          <w:tcPr>
            <w:tcW w:w="136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000FF"/>
              </w:rPr>
              <w:t>39</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9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36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000FF"/>
              </w:rPr>
              <w:t>39</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39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Defaults Upon Senior Securities</w:t>
            </w:r>
          </w:p>
        </w:tc>
        <w:tc>
          <w:tcPr>
            <w:tcW w:w="5040" w:type="dxa"/>
            <w:vAlign w:val="bottom"/>
            <w:gridSpan w:val="5"/>
          </w:tcPr>
          <w:p>
            <w:pPr>
              <w:spacing w:after="0"/>
              <w:rPr>
                <w:sz w:val="24"/>
                <w:szCs w:val="24"/>
                <w:color w:val="auto"/>
              </w:rPr>
            </w:pPr>
          </w:p>
        </w:tc>
        <w:tc>
          <w:tcPr>
            <w:tcW w:w="136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000FF"/>
              </w:rPr>
              <w:t>39</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7340" w:type="dxa"/>
            <w:vAlign w:val="bottom"/>
            <w:tcBorders>
              <w:left w:val="single" w:sz="8" w:color="0000FF"/>
            </w:tcBorders>
            <w:gridSpan w:val="9"/>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16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9"/>
              </w:rPr>
              <w:t>Mine Safety Disclosures</w:t>
            </w:r>
          </w:p>
        </w:tc>
        <w:tc>
          <w:tcPr>
            <w:tcW w:w="7340" w:type="dxa"/>
            <w:vAlign w:val="bottom"/>
            <w:gridSpan w:val="9"/>
          </w:tcPr>
          <w:p>
            <w:pPr>
              <w:spacing w:after="0"/>
              <w:rPr>
                <w:sz w:val="24"/>
                <w:szCs w:val="24"/>
                <w:color w:val="auto"/>
              </w:rPr>
            </w:pPr>
          </w:p>
        </w:tc>
        <w:tc>
          <w:tcPr>
            <w:tcW w:w="136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000FF"/>
              </w:rPr>
              <w:t>40</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7340" w:type="dxa"/>
            <w:vAlign w:val="bottom"/>
            <w:gridSpan w:val="9"/>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16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7340" w:type="dxa"/>
            <w:vAlign w:val="bottom"/>
            <w:gridSpan w:val="9"/>
          </w:tcPr>
          <w:p>
            <w:pPr>
              <w:spacing w:after="0"/>
              <w:rPr>
                <w:sz w:val="24"/>
                <w:szCs w:val="24"/>
                <w:color w:val="auto"/>
              </w:rPr>
            </w:pPr>
          </w:p>
        </w:tc>
        <w:tc>
          <w:tcPr>
            <w:tcW w:w="136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000FF"/>
              </w:rPr>
              <w:t>41</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760" w:type="dxa"/>
            <w:vAlign w:val="bottom"/>
            <w:gridSpan w:val="1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11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Exhibits</w:t>
            </w:r>
          </w:p>
        </w:tc>
        <w:tc>
          <w:tcPr>
            <w:tcW w:w="7760" w:type="dxa"/>
            <w:vAlign w:val="bottom"/>
            <w:gridSpan w:val="10"/>
          </w:tcPr>
          <w:p>
            <w:pPr>
              <w:spacing w:after="0"/>
              <w:rPr>
                <w:sz w:val="24"/>
                <w:szCs w:val="24"/>
                <w:color w:val="auto"/>
              </w:rPr>
            </w:pPr>
          </w:p>
        </w:tc>
        <w:tc>
          <w:tcPr>
            <w:tcW w:w="136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000FF"/>
              </w:rPr>
              <w:t>42</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0" w:space="340"/>
            <w:col w:w="10280"/>
          </w:cols>
          <w:pgMar w:left="320" w:top="13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73660</wp:posOffset>
            </wp:positionV>
            <wp:extent cx="717169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42" w:lineRule="exact"/>
        <w:rPr>
          <w:sz w:val="20"/>
          <w:szCs w:val="20"/>
          <w:color w:val="auto"/>
        </w:rPr>
      </w:pPr>
    </w:p>
    <w:p>
      <w:pPr>
        <w:jc w:val="both"/>
        <w:ind w:firstLine="582"/>
        <w:spacing w:after="0" w:line="275" w:lineRule="auto"/>
        <w:rPr>
          <w:sz w:val="20"/>
          <w:szCs w:val="20"/>
          <w:color w:val="auto"/>
        </w:rPr>
      </w:pPr>
      <w:r>
        <w:rPr>
          <w:rFonts w:ascii="Times New Roman" w:cs="Times New Roman" w:eastAsia="Times New Roman" w:hAnsi="Times New Roman"/>
          <w:sz w:val="16"/>
          <w:szCs w:val="16"/>
          <w:color w:val="auto"/>
        </w:rPr>
        <w:t>Certain of the statements in this Form 10-Q, particularly those anticipating future performance, business prospects, growth and operating strategies, and similar matters, and those that include the words “could,” “should,” “believes,” “anticipates,” “expects” and “estimates” or similar expressions constitute “forward-looking statements” within the meaning of Section 27A of the Securities Act of 1933, as amended, and Section 21E of the Securities Exchange Act of 1934, as amended. For those statements, Mohawk Industries, Inc. (“Mohawk” or the “Company”) claims the protection of the safe harbor for forward-looking statements contained in the Private Securities Litigation Reform Act of 1995. Management believes that these forward-looking statements are reasonable as and when made; however, caution should be taken not to place undue reliance on any such forward-looking statements because such statements speak only as of the date when made. The Company undertakes no obligation to publicly update or revise any forward-looking statements, whether as a result of new information, future events or otherwise, except as required by law. There can be no assurance that the forward-looking statements will be accurate because they are based on many assumptions, which involve risks and uncertainties. Important factors that could cause future results to differ from historical experience and our present expectations or projections include, but are not limited to, the following: changes in economic or industry conditions, including interest rates, availability of credit and residential and commercial construction and remodeling activity; the impact of tariffs and other trade restrictions; competition; inflation and deflation in raw material prices, freight and other input costs; inflation and deflation in consumer markets; currency fluctuations; rising energy costs and changes in the level of supply thereof; supply chain disruption and the availability of raw materials and sourced products; labor availability and costs; timing and level of capital expenditures; timing and implementation of price increases for the Company’s products; impairment charges; identification and consummation of acquisitions on favorable terms, if at all; integration of acquisitions; international operations; introduction of new products; rationalization of operations; tax and tax reform, product and other claims; litigation; geopolitical conflicts; sanctions and import and export restrictions; regulatory and political changes in the jurisdictions in which the Company does business; security breaches and other cybersecurity incidents; emerging issues related to the Company's integration and use of AI; and other risks identified in Mohawk’s United States Securities and Exchange Commission reports and public announcements.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73660</wp:posOffset>
            </wp:positionV>
            <wp:extent cx="717169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40" w:type="dxa"/>
            <w:vAlign w:val="bottom"/>
            <w:gridSpan w:val="2"/>
          </w:tcPr>
          <w:p>
            <w:pPr>
              <w:jc w:val="right"/>
              <w:ind w:right="1188"/>
              <w:spacing w:after="0"/>
              <w:rPr>
                <w:sz w:val="20"/>
                <w:szCs w:val="20"/>
                <w:color w:val="auto"/>
              </w:rPr>
            </w:pPr>
            <w:r>
              <w:rPr>
                <w:rFonts w:ascii="Times New Roman" w:cs="Times New Roman" w:eastAsia="Times New Roman" w:hAnsi="Times New Roman"/>
                <w:sz w:val="13"/>
                <w:szCs w:val="13"/>
                <w:color w:val="auto"/>
              </w:rPr>
              <w:t>Three Months Ended</w:t>
            </w:r>
          </w:p>
        </w:tc>
        <w:tc>
          <w:tcPr>
            <w:tcW w:w="2780" w:type="dxa"/>
            <w:vAlign w:val="bottom"/>
            <w:gridSpan w:val="2"/>
          </w:tcPr>
          <w:p>
            <w:pPr>
              <w:jc w:val="right"/>
              <w:ind w:right="908"/>
              <w:spacing w:after="0"/>
              <w:rPr>
                <w:sz w:val="20"/>
                <w:szCs w:val="20"/>
                <w:color w:val="auto"/>
              </w:rPr>
            </w:pPr>
            <w:r>
              <w:rPr>
                <w:rFonts w:ascii="Times New Roman" w:cs="Times New Roman" w:eastAsia="Times New Roman" w:hAnsi="Times New Roman"/>
                <w:sz w:val="13"/>
                <w:szCs w:val="13"/>
                <w:color w:val="auto"/>
              </w:rPr>
              <w:t>Nine Months Ended</w:t>
            </w: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(In millions, except per share data)</w:t>
            </w: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51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rPr>
              <w:t>October 3, 2026</w:t>
            </w:r>
          </w:p>
        </w:tc>
        <w:tc>
          <w:tcPr>
            <w:tcW w:w="16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3"/>
                <w:szCs w:val="13"/>
                <w:color w:val="auto"/>
              </w:rPr>
              <w:t>September 27, 2025</w:t>
            </w:r>
          </w:p>
        </w:tc>
        <w:tc>
          <w:tcPr>
            <w:tcW w:w="14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October 3, 2026</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September 27, 2025</w:t>
            </w:r>
          </w:p>
        </w:tc>
        <w:tc>
          <w:tcPr>
            <w:tcW w:w="0" w:type="dxa"/>
            <w:vAlign w:val="bottom"/>
          </w:tcPr>
          <w:p>
            <w:pPr>
              <w:spacing w:after="0"/>
              <w:rPr>
                <w:sz w:val="1"/>
                <w:szCs w:val="1"/>
                <w:color w:val="auto"/>
              </w:rPr>
            </w:pPr>
          </w:p>
        </w:tc>
      </w:tr>
      <w:tr>
        <w:trPr>
          <w:trHeight w:val="19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sales</w:t>
            </w:r>
          </w:p>
        </w:tc>
        <w:tc>
          <w:tcPr>
            <w:tcW w:w="2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5"/>
                <w:szCs w:val="15"/>
                <w:b w:val="1"/>
                <w:bCs w:val="1"/>
                <w:color w:val="auto"/>
              </w:rPr>
              <w:t>2,786.0</w:t>
            </w:r>
          </w:p>
        </w:tc>
        <w:tc>
          <w:tcPr>
            <w:tcW w:w="168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5"/>
                <w:szCs w:val="15"/>
                <w:color w:val="auto"/>
              </w:rPr>
              <w:t>2,757.9</w:t>
            </w:r>
          </w:p>
        </w:tc>
        <w:tc>
          <w:tcPr>
            <w:tcW w:w="144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5"/>
                <w:szCs w:val="15"/>
                <w:b w:val="1"/>
                <w:bCs w:val="1"/>
                <w:color w:val="auto"/>
              </w:rPr>
              <w:t>8,506.1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8,085.7</w:t>
            </w:r>
          </w:p>
        </w:tc>
        <w:tc>
          <w:tcPr>
            <w:tcW w:w="0" w:type="dxa"/>
            <w:vAlign w:val="bottom"/>
          </w:tcPr>
          <w:p>
            <w:pPr>
              <w:spacing w:after="0"/>
              <w:rPr>
                <w:sz w:val="1"/>
                <w:szCs w:val="1"/>
                <w:color w:val="auto"/>
              </w:rPr>
            </w:pPr>
          </w:p>
        </w:tc>
      </w:tr>
      <w:tr>
        <w:trPr>
          <w:trHeight w:val="19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Cost of sales</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5"/>
                <w:szCs w:val="15"/>
                <w:b w:val="1"/>
                <w:bCs w:val="1"/>
                <w:color w:val="auto"/>
              </w:rPr>
              <w:t>2,076.3</w:t>
            </w:r>
          </w:p>
        </w:tc>
        <w:tc>
          <w:tcPr>
            <w:tcW w:w="16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5"/>
                <w:szCs w:val="15"/>
                <w:color w:val="auto"/>
              </w:rPr>
              <w:t>2,103.0</w:t>
            </w:r>
          </w:p>
        </w:tc>
        <w:tc>
          <w:tcPr>
            <w:tcW w:w="14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5"/>
                <w:szCs w:val="15"/>
                <w:b w:val="1"/>
                <w:bCs w:val="1"/>
                <w:color w:val="auto"/>
              </w:rPr>
              <w:t>6,359.3</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6,133.2</w:t>
            </w:r>
          </w:p>
        </w:tc>
        <w:tc>
          <w:tcPr>
            <w:tcW w:w="0" w:type="dxa"/>
            <w:vAlign w:val="bottom"/>
          </w:tcPr>
          <w:p>
            <w:pPr>
              <w:spacing w:after="0"/>
              <w:rPr>
                <w:sz w:val="1"/>
                <w:szCs w:val="1"/>
                <w:color w:val="auto"/>
              </w:rPr>
            </w:pPr>
          </w:p>
        </w:tc>
      </w:tr>
      <w:tr>
        <w:trPr>
          <w:trHeight w:val="187"/>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Gross profit</w:t>
            </w: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5"/>
                <w:szCs w:val="15"/>
                <w:b w:val="1"/>
                <w:bCs w:val="1"/>
                <w:color w:val="auto"/>
              </w:rPr>
              <w:t>709.7</w:t>
            </w:r>
          </w:p>
        </w:tc>
        <w:tc>
          <w:tcPr>
            <w:tcW w:w="168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5"/>
                <w:szCs w:val="15"/>
                <w:color w:val="auto"/>
              </w:rPr>
              <w:t>654.9</w:t>
            </w:r>
          </w:p>
        </w:tc>
        <w:tc>
          <w:tcPr>
            <w:tcW w:w="144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5"/>
                <w:szCs w:val="15"/>
                <w:b w:val="1"/>
                <w:bCs w:val="1"/>
                <w:color w:val="auto"/>
              </w:rPr>
              <w:t>2,146.8</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1,952.5</w:t>
            </w:r>
          </w:p>
        </w:tc>
        <w:tc>
          <w:tcPr>
            <w:tcW w:w="0" w:type="dxa"/>
            <w:vAlign w:val="bottom"/>
          </w:tcPr>
          <w:p>
            <w:pPr>
              <w:spacing w:after="0"/>
              <w:rPr>
                <w:sz w:val="1"/>
                <w:szCs w:val="1"/>
                <w:color w:val="auto"/>
              </w:rPr>
            </w:pPr>
          </w:p>
        </w:tc>
      </w:tr>
      <w:tr>
        <w:trPr>
          <w:trHeight w:val="19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5"/>
                <w:szCs w:val="15"/>
                <w:b w:val="1"/>
                <w:bCs w:val="1"/>
                <w:color w:val="auto"/>
              </w:rPr>
              <w:t>522.0</w:t>
            </w:r>
          </w:p>
        </w:tc>
        <w:tc>
          <w:tcPr>
            <w:tcW w:w="16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5"/>
                <w:szCs w:val="15"/>
                <w:color w:val="auto"/>
              </w:rPr>
              <w:t>518.2</w:t>
            </w:r>
          </w:p>
        </w:tc>
        <w:tc>
          <w:tcPr>
            <w:tcW w:w="14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5"/>
                <w:szCs w:val="15"/>
                <w:b w:val="1"/>
                <w:bCs w:val="1"/>
                <w:color w:val="auto"/>
              </w:rPr>
              <w:t>1,593.5</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1,531.0</w:t>
            </w:r>
          </w:p>
        </w:tc>
        <w:tc>
          <w:tcPr>
            <w:tcW w:w="0" w:type="dxa"/>
            <w:vAlign w:val="bottom"/>
          </w:tcPr>
          <w:p>
            <w:pPr>
              <w:spacing w:after="0"/>
              <w:rPr>
                <w:sz w:val="1"/>
                <w:szCs w:val="1"/>
                <w:color w:val="auto"/>
              </w:rPr>
            </w:pPr>
          </w:p>
        </w:tc>
      </w:tr>
      <w:tr>
        <w:trPr>
          <w:trHeight w:val="187"/>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income</w:t>
            </w: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5"/>
                <w:szCs w:val="15"/>
                <w:b w:val="1"/>
                <w:bCs w:val="1"/>
                <w:color w:val="auto"/>
              </w:rPr>
              <w:t>187.7</w:t>
            </w:r>
          </w:p>
        </w:tc>
        <w:tc>
          <w:tcPr>
            <w:tcW w:w="168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5"/>
                <w:szCs w:val="15"/>
                <w:color w:val="auto"/>
              </w:rPr>
              <w:t>136.7</w:t>
            </w:r>
          </w:p>
        </w:tc>
        <w:tc>
          <w:tcPr>
            <w:tcW w:w="144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5"/>
                <w:szCs w:val="15"/>
                <w:b w:val="1"/>
                <w:bCs w:val="1"/>
                <w:color w:val="auto"/>
              </w:rPr>
              <w:t>553.3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421.5</w:t>
            </w:r>
          </w:p>
        </w:tc>
        <w:tc>
          <w:tcPr>
            <w:tcW w:w="0" w:type="dxa"/>
            <w:vAlign w:val="bottom"/>
          </w:tcPr>
          <w:p>
            <w:pPr>
              <w:spacing w:after="0"/>
              <w:rPr>
                <w:sz w:val="1"/>
                <w:szCs w:val="1"/>
                <w:color w:val="auto"/>
              </w:rPr>
            </w:pPr>
          </w:p>
        </w:tc>
      </w:tr>
      <w:tr>
        <w:trPr>
          <w:trHeight w:val="193"/>
        </w:trPr>
        <w:tc>
          <w:tcPr>
            <w:tcW w:w="5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260" w:type="dxa"/>
            <w:vAlign w:val="bottom"/>
          </w:tcPr>
          <w:p>
            <w:pPr>
              <w:spacing w:after="0"/>
              <w:rPr>
                <w:sz w:val="16"/>
                <w:szCs w:val="16"/>
                <w:color w:val="auto"/>
              </w:rPr>
            </w:pPr>
          </w:p>
        </w:tc>
        <w:tc>
          <w:tcPr>
            <w:tcW w:w="1360" w:type="dxa"/>
            <w:vAlign w:val="bottom"/>
          </w:tcPr>
          <w:p>
            <w:pPr>
              <w:jc w:val="right"/>
              <w:ind w:right="288"/>
              <w:spacing w:after="0"/>
              <w:rPr>
                <w:sz w:val="20"/>
                <w:szCs w:val="20"/>
                <w:color w:val="auto"/>
              </w:rPr>
            </w:pPr>
            <w:r>
              <w:rPr>
                <w:rFonts w:ascii="Times New Roman" w:cs="Times New Roman" w:eastAsia="Times New Roman" w:hAnsi="Times New Roman"/>
                <w:sz w:val="15"/>
                <w:szCs w:val="15"/>
                <w:b w:val="1"/>
                <w:bCs w:val="1"/>
                <w:color w:val="auto"/>
              </w:rPr>
              <w:t>1.6</w:t>
            </w:r>
          </w:p>
        </w:tc>
        <w:tc>
          <w:tcPr>
            <w:tcW w:w="1680" w:type="dxa"/>
            <w:vAlign w:val="bottom"/>
          </w:tcPr>
          <w:p>
            <w:pPr>
              <w:jc w:val="right"/>
              <w:ind w:right="288"/>
              <w:spacing w:after="0"/>
              <w:rPr>
                <w:sz w:val="20"/>
                <w:szCs w:val="20"/>
                <w:color w:val="auto"/>
              </w:rPr>
            </w:pPr>
            <w:r>
              <w:rPr>
                <w:rFonts w:ascii="Times New Roman" w:cs="Times New Roman" w:eastAsia="Times New Roman" w:hAnsi="Times New Roman"/>
                <w:sz w:val="15"/>
                <w:szCs w:val="15"/>
                <w:color w:val="auto"/>
              </w:rPr>
              <w:t>5.0</w:t>
            </w:r>
          </w:p>
        </w:tc>
        <w:tc>
          <w:tcPr>
            <w:tcW w:w="1440" w:type="dxa"/>
            <w:vAlign w:val="bottom"/>
          </w:tcPr>
          <w:p>
            <w:pPr>
              <w:jc w:val="right"/>
              <w:ind w:right="248"/>
              <w:spacing w:after="0"/>
              <w:rPr>
                <w:sz w:val="20"/>
                <w:szCs w:val="20"/>
                <w:color w:val="auto"/>
              </w:rPr>
            </w:pPr>
            <w:r>
              <w:rPr>
                <w:rFonts w:ascii="Times New Roman" w:cs="Times New Roman" w:eastAsia="Times New Roman" w:hAnsi="Times New Roman"/>
                <w:sz w:val="15"/>
                <w:szCs w:val="15"/>
                <w:b w:val="1"/>
                <w:bCs w:val="1"/>
                <w:color w:val="auto"/>
              </w:rPr>
              <w:t>8.5</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0" w:type="dxa"/>
            <w:vAlign w:val="bottom"/>
          </w:tcPr>
          <w:p>
            <w:pPr>
              <w:spacing w:after="0"/>
              <w:rPr>
                <w:sz w:val="1"/>
                <w:szCs w:val="1"/>
                <w:color w:val="auto"/>
              </w:rPr>
            </w:pPr>
          </w:p>
        </w:tc>
      </w:tr>
      <w:tr>
        <w:trPr>
          <w:trHeight w:val="194"/>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(income) and expense, net</w:t>
            </w:r>
          </w:p>
        </w:tc>
        <w:tc>
          <w:tcPr>
            <w:tcW w:w="26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5"/>
                <w:szCs w:val="15"/>
                <w:b w:val="1"/>
                <w:bCs w:val="1"/>
                <w:color w:val="auto"/>
              </w:rPr>
              <w:t>2.8</w:t>
            </w:r>
          </w:p>
        </w:tc>
        <w:tc>
          <w:tcPr>
            <w:tcW w:w="168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5"/>
                <w:szCs w:val="15"/>
                <w:color w:val="auto"/>
              </w:rPr>
              <w:t>(0.4)</w:t>
            </w:r>
          </w:p>
        </w:tc>
        <w:tc>
          <w:tcPr>
            <w:tcW w:w="144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5"/>
                <w:szCs w:val="15"/>
                <w:b w:val="1"/>
                <w:bCs w:val="1"/>
                <w:color w:val="auto"/>
              </w:rPr>
              <w:t>4.7</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186"/>
        </w:trPr>
        <w:tc>
          <w:tcPr>
            <w:tcW w:w="51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Earnings before income taxes</w:t>
            </w:r>
          </w:p>
        </w:tc>
        <w:tc>
          <w:tcPr>
            <w:tcW w:w="260" w:type="dxa"/>
            <w:vAlign w:val="bottom"/>
          </w:tcPr>
          <w:p>
            <w:pPr>
              <w:spacing w:after="0"/>
              <w:rPr>
                <w:sz w:val="16"/>
                <w:szCs w:val="16"/>
                <w:color w:val="auto"/>
              </w:rPr>
            </w:pPr>
          </w:p>
        </w:tc>
        <w:tc>
          <w:tcPr>
            <w:tcW w:w="1360" w:type="dxa"/>
            <w:vAlign w:val="bottom"/>
          </w:tcPr>
          <w:p>
            <w:pPr>
              <w:jc w:val="right"/>
              <w:ind w:right="288"/>
              <w:spacing w:after="0"/>
              <w:rPr>
                <w:sz w:val="20"/>
                <w:szCs w:val="20"/>
                <w:color w:val="auto"/>
              </w:rPr>
            </w:pPr>
            <w:r>
              <w:rPr>
                <w:rFonts w:ascii="Times New Roman" w:cs="Times New Roman" w:eastAsia="Times New Roman" w:hAnsi="Times New Roman"/>
                <w:sz w:val="15"/>
                <w:szCs w:val="15"/>
                <w:b w:val="1"/>
                <w:bCs w:val="1"/>
                <w:color w:val="auto"/>
              </w:rPr>
              <w:t>183.3</w:t>
            </w:r>
          </w:p>
        </w:tc>
        <w:tc>
          <w:tcPr>
            <w:tcW w:w="1680" w:type="dxa"/>
            <w:vAlign w:val="bottom"/>
          </w:tcPr>
          <w:p>
            <w:pPr>
              <w:jc w:val="right"/>
              <w:ind w:right="288"/>
              <w:spacing w:after="0"/>
              <w:rPr>
                <w:sz w:val="20"/>
                <w:szCs w:val="20"/>
                <w:color w:val="auto"/>
              </w:rPr>
            </w:pPr>
            <w:r>
              <w:rPr>
                <w:rFonts w:ascii="Times New Roman" w:cs="Times New Roman" w:eastAsia="Times New Roman" w:hAnsi="Times New Roman"/>
                <w:sz w:val="15"/>
                <w:szCs w:val="15"/>
                <w:color w:val="auto"/>
              </w:rPr>
              <w:t>132.1</w:t>
            </w:r>
          </w:p>
        </w:tc>
        <w:tc>
          <w:tcPr>
            <w:tcW w:w="1440" w:type="dxa"/>
            <w:vAlign w:val="bottom"/>
          </w:tcPr>
          <w:p>
            <w:pPr>
              <w:jc w:val="right"/>
              <w:ind w:right="248"/>
              <w:spacing w:after="0"/>
              <w:rPr>
                <w:sz w:val="20"/>
                <w:szCs w:val="20"/>
                <w:color w:val="auto"/>
              </w:rPr>
            </w:pPr>
            <w:r>
              <w:rPr>
                <w:rFonts w:ascii="Times New Roman" w:cs="Times New Roman" w:eastAsia="Times New Roman" w:hAnsi="Times New Roman"/>
                <w:sz w:val="15"/>
                <w:szCs w:val="15"/>
                <w:b w:val="1"/>
                <w:bCs w:val="1"/>
                <w:color w:val="auto"/>
              </w:rPr>
              <w:t>540.1</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402.7</w:t>
            </w:r>
          </w:p>
        </w:tc>
        <w:tc>
          <w:tcPr>
            <w:tcW w:w="0" w:type="dxa"/>
            <w:vAlign w:val="bottom"/>
          </w:tcPr>
          <w:p>
            <w:pPr>
              <w:spacing w:after="0"/>
              <w:rPr>
                <w:sz w:val="1"/>
                <w:szCs w:val="1"/>
                <w:color w:val="auto"/>
              </w:rPr>
            </w:pPr>
          </w:p>
        </w:tc>
      </w:tr>
      <w:tr>
        <w:trPr>
          <w:trHeight w:val="194"/>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tax expense</w:t>
            </w:r>
          </w:p>
        </w:tc>
        <w:tc>
          <w:tcPr>
            <w:tcW w:w="26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5"/>
                <w:szCs w:val="15"/>
                <w:b w:val="1"/>
                <w:bCs w:val="1"/>
                <w:color w:val="auto"/>
              </w:rPr>
              <w:t>20.1</w:t>
            </w:r>
          </w:p>
        </w:tc>
        <w:tc>
          <w:tcPr>
            <w:tcW w:w="168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5"/>
                <w:szCs w:val="15"/>
                <w:color w:val="auto"/>
              </w:rPr>
              <w:t>23.3</w:t>
            </w:r>
          </w:p>
        </w:tc>
        <w:tc>
          <w:tcPr>
            <w:tcW w:w="144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5"/>
                <w:szCs w:val="15"/>
                <w:b w:val="1"/>
                <w:bCs w:val="1"/>
                <w:color w:val="auto"/>
              </w:rPr>
              <w:t>63.6</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74.8</w:t>
            </w:r>
          </w:p>
        </w:tc>
        <w:tc>
          <w:tcPr>
            <w:tcW w:w="0" w:type="dxa"/>
            <w:vAlign w:val="bottom"/>
          </w:tcPr>
          <w:p>
            <w:pPr>
              <w:spacing w:after="0"/>
              <w:rPr>
                <w:sz w:val="1"/>
                <w:szCs w:val="1"/>
                <w:color w:val="auto"/>
              </w:rPr>
            </w:pPr>
          </w:p>
        </w:tc>
      </w:tr>
      <w:tr>
        <w:trPr>
          <w:trHeight w:val="186"/>
        </w:trPr>
        <w:tc>
          <w:tcPr>
            <w:tcW w:w="51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earnings including noncontrolling interests</w:t>
            </w:r>
          </w:p>
        </w:tc>
        <w:tc>
          <w:tcPr>
            <w:tcW w:w="260" w:type="dxa"/>
            <w:vAlign w:val="bottom"/>
          </w:tcPr>
          <w:p>
            <w:pPr>
              <w:spacing w:after="0"/>
              <w:rPr>
                <w:sz w:val="16"/>
                <w:szCs w:val="16"/>
                <w:color w:val="auto"/>
              </w:rPr>
            </w:pPr>
          </w:p>
        </w:tc>
        <w:tc>
          <w:tcPr>
            <w:tcW w:w="1360" w:type="dxa"/>
            <w:vAlign w:val="bottom"/>
          </w:tcPr>
          <w:p>
            <w:pPr>
              <w:jc w:val="right"/>
              <w:ind w:right="288"/>
              <w:spacing w:after="0"/>
              <w:rPr>
                <w:sz w:val="20"/>
                <w:szCs w:val="20"/>
                <w:color w:val="auto"/>
              </w:rPr>
            </w:pPr>
            <w:r>
              <w:rPr>
                <w:rFonts w:ascii="Times New Roman" w:cs="Times New Roman" w:eastAsia="Times New Roman" w:hAnsi="Times New Roman"/>
                <w:sz w:val="15"/>
                <w:szCs w:val="15"/>
                <w:b w:val="1"/>
                <w:bCs w:val="1"/>
                <w:color w:val="auto"/>
              </w:rPr>
              <w:t>163.2</w:t>
            </w:r>
          </w:p>
        </w:tc>
        <w:tc>
          <w:tcPr>
            <w:tcW w:w="1680" w:type="dxa"/>
            <w:vAlign w:val="bottom"/>
          </w:tcPr>
          <w:p>
            <w:pPr>
              <w:jc w:val="right"/>
              <w:ind w:right="288"/>
              <w:spacing w:after="0"/>
              <w:rPr>
                <w:sz w:val="20"/>
                <w:szCs w:val="20"/>
                <w:color w:val="auto"/>
              </w:rPr>
            </w:pPr>
            <w:r>
              <w:rPr>
                <w:rFonts w:ascii="Times New Roman" w:cs="Times New Roman" w:eastAsia="Times New Roman" w:hAnsi="Times New Roman"/>
                <w:sz w:val="15"/>
                <w:szCs w:val="15"/>
                <w:color w:val="auto"/>
              </w:rPr>
              <w:t>108.8</w:t>
            </w:r>
          </w:p>
        </w:tc>
        <w:tc>
          <w:tcPr>
            <w:tcW w:w="1440" w:type="dxa"/>
            <w:vAlign w:val="bottom"/>
          </w:tcPr>
          <w:p>
            <w:pPr>
              <w:jc w:val="right"/>
              <w:ind w:right="248"/>
              <w:spacing w:after="0"/>
              <w:rPr>
                <w:sz w:val="20"/>
                <w:szCs w:val="20"/>
                <w:color w:val="auto"/>
              </w:rPr>
            </w:pPr>
            <w:r>
              <w:rPr>
                <w:rFonts w:ascii="Times New Roman" w:cs="Times New Roman" w:eastAsia="Times New Roman" w:hAnsi="Times New Roman"/>
                <w:sz w:val="15"/>
                <w:szCs w:val="15"/>
                <w:b w:val="1"/>
                <w:bCs w:val="1"/>
                <w:color w:val="auto"/>
              </w:rPr>
              <w:t>476.5</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327.9</w:t>
            </w:r>
          </w:p>
        </w:tc>
        <w:tc>
          <w:tcPr>
            <w:tcW w:w="0" w:type="dxa"/>
            <w:vAlign w:val="bottom"/>
          </w:tcPr>
          <w:p>
            <w:pPr>
              <w:spacing w:after="0"/>
              <w:rPr>
                <w:sz w:val="1"/>
                <w:szCs w:val="1"/>
                <w:color w:val="auto"/>
              </w:rPr>
            </w:pPr>
          </w:p>
        </w:tc>
      </w:tr>
      <w:tr>
        <w:trPr>
          <w:trHeight w:val="194"/>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Less: net earnings attributable to noncontrolling interests</w:t>
            </w:r>
          </w:p>
        </w:tc>
        <w:tc>
          <w:tcPr>
            <w:tcW w:w="26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5"/>
                <w:szCs w:val="15"/>
                <w:b w:val="1"/>
                <w:bCs w:val="1"/>
                <w:color w:val="auto"/>
              </w:rPr>
              <w:t>0.1</w:t>
            </w:r>
          </w:p>
        </w:tc>
        <w:tc>
          <w:tcPr>
            <w:tcW w:w="168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5"/>
                <w:szCs w:val="15"/>
                <w:b w:val="1"/>
                <w:bCs w:val="1"/>
                <w:color w:val="auto"/>
              </w:rPr>
              <w:t>0.1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Net earnings attributable to Mohawk Industries, Inc.</w:t>
            </w:r>
          </w:p>
        </w:tc>
        <w:tc>
          <w:tcPr>
            <w:tcW w:w="2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5"/>
                <w:szCs w:val="15"/>
                <w:b w:val="1"/>
                <w:bCs w:val="1"/>
                <w:color w:val="auto"/>
              </w:rPr>
              <w:t>163.1</w:t>
            </w:r>
          </w:p>
        </w:tc>
        <w:tc>
          <w:tcPr>
            <w:tcW w:w="16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5"/>
                <w:szCs w:val="15"/>
                <w:color w:val="auto"/>
              </w:rPr>
              <w:t>108.8</w:t>
            </w:r>
          </w:p>
        </w:tc>
        <w:tc>
          <w:tcPr>
            <w:tcW w:w="14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5"/>
                <w:szCs w:val="15"/>
                <w:b w:val="1"/>
                <w:bCs w:val="1"/>
                <w:color w:val="auto"/>
              </w:rPr>
              <w:t>476.4</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327.9</w:t>
            </w:r>
          </w:p>
        </w:tc>
        <w:tc>
          <w:tcPr>
            <w:tcW w:w="0" w:type="dxa"/>
            <w:vAlign w:val="bottom"/>
          </w:tcPr>
          <w:p>
            <w:pPr>
              <w:spacing w:after="0"/>
              <w:rPr>
                <w:sz w:val="1"/>
                <w:szCs w:val="1"/>
                <w:color w:val="auto"/>
              </w:rPr>
            </w:pPr>
          </w:p>
        </w:tc>
      </w:tr>
      <w:tr>
        <w:trPr>
          <w:trHeight w:val="194"/>
        </w:trPr>
        <w:tc>
          <w:tcPr>
            <w:tcW w:w="5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Basic earnings per share attributable to Mohawk Industries, Inc.</w:t>
            </w:r>
          </w:p>
        </w:tc>
        <w:tc>
          <w:tcPr>
            <w:tcW w:w="2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5"/>
                <w:szCs w:val="15"/>
                <w:b w:val="1"/>
                <w:bCs w:val="1"/>
                <w:color w:val="auto"/>
              </w:rPr>
              <w:t>2.73</w:t>
            </w:r>
          </w:p>
        </w:tc>
        <w:tc>
          <w:tcPr>
            <w:tcW w:w="16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5"/>
                <w:szCs w:val="15"/>
                <w:color w:val="auto"/>
              </w:rPr>
              <w:t>1.75</w:t>
            </w:r>
          </w:p>
        </w:tc>
        <w:tc>
          <w:tcPr>
            <w:tcW w:w="14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5"/>
                <w:szCs w:val="15"/>
                <w:b w:val="1"/>
                <w:bCs w:val="1"/>
                <w:color w:val="auto"/>
              </w:rPr>
              <w:t>7.86</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5.26</w:t>
            </w:r>
          </w:p>
        </w:tc>
        <w:tc>
          <w:tcPr>
            <w:tcW w:w="0" w:type="dxa"/>
            <w:vAlign w:val="bottom"/>
          </w:tcPr>
          <w:p>
            <w:pPr>
              <w:spacing w:after="0"/>
              <w:rPr>
                <w:sz w:val="1"/>
                <w:szCs w:val="1"/>
                <w:color w:val="auto"/>
              </w:rPr>
            </w:pPr>
          </w:p>
        </w:tc>
      </w:tr>
      <w:tr>
        <w:trPr>
          <w:trHeight w:val="186"/>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Weighted-average common shares outstanding—basic</w:t>
            </w:r>
          </w:p>
        </w:tc>
        <w:tc>
          <w:tcPr>
            <w:tcW w:w="26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5"/>
                <w:szCs w:val="15"/>
                <w:b w:val="1"/>
                <w:bCs w:val="1"/>
                <w:color w:val="auto"/>
              </w:rPr>
              <w:t>59.8</w:t>
            </w:r>
          </w:p>
        </w:tc>
        <w:tc>
          <w:tcPr>
            <w:tcW w:w="168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5"/>
                <w:szCs w:val="15"/>
                <w:color w:val="auto"/>
              </w:rPr>
              <w:t>62.0</w:t>
            </w:r>
          </w:p>
        </w:tc>
        <w:tc>
          <w:tcPr>
            <w:tcW w:w="144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5"/>
                <w:szCs w:val="15"/>
                <w:b w:val="1"/>
                <w:bCs w:val="1"/>
                <w:color w:val="auto"/>
              </w:rPr>
              <w:t>60.6</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62.3</w:t>
            </w:r>
          </w:p>
        </w:tc>
        <w:tc>
          <w:tcPr>
            <w:tcW w:w="0" w:type="dxa"/>
            <w:vAlign w:val="bottom"/>
          </w:tcPr>
          <w:p>
            <w:pPr>
              <w:spacing w:after="0"/>
              <w:rPr>
                <w:sz w:val="1"/>
                <w:szCs w:val="1"/>
                <w:color w:val="auto"/>
              </w:rPr>
            </w:pPr>
          </w:p>
        </w:tc>
      </w:tr>
      <w:tr>
        <w:trPr>
          <w:trHeight w:val="187"/>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Diluted earnings per share attributable to Mohawk Industries, Inc.</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5"/>
                <w:szCs w:val="15"/>
                <w:b w:val="1"/>
                <w:bCs w:val="1"/>
                <w:color w:val="auto"/>
              </w:rPr>
              <w:t>2.72</w:t>
            </w:r>
          </w:p>
        </w:tc>
        <w:tc>
          <w:tcPr>
            <w:tcW w:w="168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5"/>
                <w:szCs w:val="15"/>
                <w:color w:val="auto"/>
              </w:rPr>
              <w:t>1.75</w:t>
            </w:r>
          </w:p>
        </w:tc>
        <w:tc>
          <w:tcPr>
            <w:tcW w:w="144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5"/>
                <w:szCs w:val="15"/>
                <w:b w:val="1"/>
                <w:bCs w:val="1"/>
                <w:color w:val="auto"/>
              </w:rPr>
              <w:t>7.82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5.24</w:t>
            </w:r>
          </w:p>
        </w:tc>
        <w:tc>
          <w:tcPr>
            <w:tcW w:w="0" w:type="dxa"/>
            <w:vAlign w:val="bottom"/>
          </w:tcPr>
          <w:p>
            <w:pPr>
              <w:spacing w:after="0"/>
              <w:rPr>
                <w:sz w:val="1"/>
                <w:szCs w:val="1"/>
                <w:color w:val="auto"/>
              </w:rPr>
            </w:pPr>
          </w:p>
        </w:tc>
      </w:tr>
      <w:tr>
        <w:trPr>
          <w:trHeight w:val="186"/>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Weighted-average common shares outstanding—diluted</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5"/>
                <w:szCs w:val="15"/>
                <w:b w:val="1"/>
                <w:bCs w:val="1"/>
                <w:color w:val="auto"/>
              </w:rPr>
              <w:t>60.0</w:t>
            </w:r>
          </w:p>
        </w:tc>
        <w:tc>
          <w:tcPr>
            <w:tcW w:w="16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5"/>
                <w:szCs w:val="15"/>
                <w:color w:val="auto"/>
              </w:rPr>
              <w:t>62.3</w:t>
            </w:r>
          </w:p>
        </w:tc>
        <w:tc>
          <w:tcPr>
            <w:tcW w:w="14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5"/>
                <w:szCs w:val="15"/>
                <w:b w:val="1"/>
                <w:bCs w:val="1"/>
                <w:color w:val="auto"/>
              </w:rPr>
              <w:t>60.9</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62.6</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81280</wp:posOffset>
            </wp:positionV>
            <wp:extent cx="717169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 (LOSS)</w:t>
      </w:r>
    </w:p>
    <w:p>
      <w:pPr>
        <w:spacing w:after="0" w:line="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Three Months Ended</w:t>
            </w:r>
          </w:p>
        </w:tc>
        <w:tc>
          <w:tcPr>
            <w:tcW w:w="140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Nine Months Ended</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(In millions)</w:t>
            </w: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450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3"/>
                <w:szCs w:val="13"/>
                <w:b w:val="1"/>
                <w:bCs w:val="1"/>
                <w:color w:val="auto"/>
              </w:rPr>
              <w:t>October 3, 2026</w:t>
            </w:r>
          </w:p>
        </w:tc>
        <w:tc>
          <w:tcPr>
            <w:tcW w:w="14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3"/>
                <w:szCs w:val="13"/>
                <w:color w:val="auto"/>
                <w:w w:val="97"/>
              </w:rPr>
              <w:t>September 27, 2025</w:t>
            </w:r>
          </w:p>
        </w:tc>
        <w:tc>
          <w:tcPr>
            <w:tcW w:w="17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3"/>
                <w:szCs w:val="13"/>
                <w:b w:val="1"/>
                <w:bCs w:val="1"/>
                <w:color w:val="auto"/>
              </w:rPr>
              <w:t>October 3, 2026</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September 27, 2025</w:t>
            </w:r>
          </w:p>
        </w:tc>
        <w:tc>
          <w:tcPr>
            <w:tcW w:w="0" w:type="dxa"/>
            <w:vAlign w:val="bottom"/>
          </w:tcPr>
          <w:p>
            <w:pPr>
              <w:spacing w:after="0"/>
              <w:rPr>
                <w:sz w:val="1"/>
                <w:szCs w:val="1"/>
                <w:color w:val="auto"/>
              </w:rPr>
            </w:pPr>
          </w:p>
        </w:tc>
      </w:tr>
      <w:tr>
        <w:trPr>
          <w:trHeight w:val="19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earnings including noncontrolling interests</w:t>
            </w:r>
          </w:p>
        </w:tc>
        <w:tc>
          <w:tcPr>
            <w:tcW w:w="40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w:t>
            </w:r>
          </w:p>
        </w:tc>
        <w:tc>
          <w:tcPr>
            <w:tcW w:w="176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5"/>
                <w:szCs w:val="15"/>
                <w:b w:val="1"/>
                <w:bCs w:val="1"/>
                <w:color w:val="auto"/>
              </w:rPr>
              <w:t>163.2</w:t>
            </w:r>
          </w:p>
        </w:tc>
        <w:tc>
          <w:tcPr>
            <w:tcW w:w="14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5"/>
                <w:szCs w:val="15"/>
                <w:color w:val="auto"/>
              </w:rPr>
              <w:t>108.8</w:t>
            </w:r>
          </w:p>
        </w:tc>
        <w:tc>
          <w:tcPr>
            <w:tcW w:w="17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5"/>
                <w:szCs w:val="15"/>
                <w:b w:val="1"/>
                <w:bCs w:val="1"/>
                <w:color w:val="auto"/>
              </w:rPr>
              <w:t>476.5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327.9</w:t>
            </w:r>
          </w:p>
        </w:tc>
        <w:tc>
          <w:tcPr>
            <w:tcW w:w="0" w:type="dxa"/>
            <w:vAlign w:val="bottom"/>
          </w:tcPr>
          <w:p>
            <w:pPr>
              <w:spacing w:after="0"/>
              <w:rPr>
                <w:sz w:val="1"/>
                <w:szCs w:val="1"/>
                <w:color w:val="auto"/>
              </w:rPr>
            </w:pPr>
          </w:p>
        </w:tc>
      </w:tr>
      <w:tr>
        <w:trPr>
          <w:trHeight w:val="192"/>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comprehensive income (loss):</w:t>
            </w:r>
          </w:p>
        </w:tc>
        <w:tc>
          <w:tcPr>
            <w:tcW w:w="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40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5"/>
                <w:szCs w:val="15"/>
                <w:b w:val="1"/>
                <w:bCs w:val="1"/>
                <w:color w:val="auto"/>
              </w:rPr>
              <w:t>(146.0)</w:t>
            </w:r>
          </w:p>
        </w:tc>
        <w:tc>
          <w:tcPr>
            <w:tcW w:w="140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5"/>
                <w:szCs w:val="15"/>
                <w:color w:val="auto"/>
              </w:rPr>
              <w:t>(32.1)</w:t>
            </w:r>
          </w:p>
        </w:tc>
        <w:tc>
          <w:tcPr>
            <w:tcW w:w="178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5"/>
                <w:szCs w:val="15"/>
                <w:b w:val="1"/>
                <w:bCs w:val="1"/>
                <w:color w:val="auto"/>
              </w:rPr>
              <w:t>(176.7)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548.8</w:t>
            </w:r>
          </w:p>
        </w:tc>
        <w:tc>
          <w:tcPr>
            <w:tcW w:w="0" w:type="dxa"/>
            <w:vAlign w:val="bottom"/>
          </w:tcPr>
          <w:p>
            <w:pPr>
              <w:spacing w:after="0"/>
              <w:rPr>
                <w:sz w:val="1"/>
                <w:szCs w:val="1"/>
                <w:color w:val="auto"/>
              </w:rPr>
            </w:pPr>
          </w:p>
        </w:tc>
      </w:tr>
      <w:tr>
        <w:trPr>
          <w:trHeight w:val="186"/>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Other comprehensive income (loss)</w:t>
            </w: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5"/>
                <w:szCs w:val="15"/>
                <w:b w:val="1"/>
                <w:bCs w:val="1"/>
                <w:color w:val="auto"/>
              </w:rPr>
              <w:t>(146.0)</w:t>
            </w:r>
          </w:p>
        </w:tc>
        <w:tc>
          <w:tcPr>
            <w:tcW w:w="14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5"/>
                <w:szCs w:val="15"/>
                <w:color w:val="auto"/>
              </w:rPr>
              <w:t>(32.1)</w:t>
            </w:r>
          </w:p>
        </w:tc>
        <w:tc>
          <w:tcPr>
            <w:tcW w:w="17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5"/>
                <w:szCs w:val="15"/>
                <w:b w:val="1"/>
                <w:bCs w:val="1"/>
                <w:color w:val="auto"/>
              </w:rPr>
              <w:t>(176.7)</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548.8</w:t>
            </w:r>
          </w:p>
        </w:tc>
        <w:tc>
          <w:tcPr>
            <w:tcW w:w="0" w:type="dxa"/>
            <w:vAlign w:val="bottom"/>
          </w:tcPr>
          <w:p>
            <w:pPr>
              <w:spacing w:after="0"/>
              <w:rPr>
                <w:sz w:val="1"/>
                <w:szCs w:val="1"/>
                <w:color w:val="auto"/>
              </w:rPr>
            </w:pPr>
          </w:p>
        </w:tc>
      </w:tr>
      <w:tr>
        <w:trPr>
          <w:trHeight w:val="187"/>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Comprehensive income</w:t>
            </w:r>
          </w:p>
        </w:tc>
        <w:tc>
          <w:tcPr>
            <w:tcW w:w="40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5"/>
                <w:szCs w:val="15"/>
                <w:b w:val="1"/>
                <w:bCs w:val="1"/>
                <w:color w:val="auto"/>
              </w:rPr>
              <w:t>17.2</w:t>
            </w:r>
          </w:p>
        </w:tc>
        <w:tc>
          <w:tcPr>
            <w:tcW w:w="14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5"/>
                <w:szCs w:val="15"/>
                <w:color w:val="auto"/>
              </w:rPr>
              <w:t>76.7</w:t>
            </w:r>
          </w:p>
        </w:tc>
        <w:tc>
          <w:tcPr>
            <w:tcW w:w="17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5"/>
                <w:szCs w:val="15"/>
                <w:b w:val="1"/>
                <w:bCs w:val="1"/>
                <w:color w:val="auto"/>
              </w:rPr>
              <w:t>299.8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876.7</w:t>
            </w:r>
          </w:p>
        </w:tc>
        <w:tc>
          <w:tcPr>
            <w:tcW w:w="0" w:type="dxa"/>
            <w:vAlign w:val="bottom"/>
          </w:tcPr>
          <w:p>
            <w:pPr>
              <w:spacing w:after="0"/>
              <w:rPr>
                <w:sz w:val="1"/>
                <w:szCs w:val="1"/>
                <w:color w:val="auto"/>
              </w:rPr>
            </w:pPr>
          </w:p>
        </w:tc>
      </w:tr>
      <w:tr>
        <w:trPr>
          <w:trHeight w:val="193"/>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Less: comprehensive income (loss) attributable to noncontrolling interests</w:t>
            </w: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5"/>
                <w:szCs w:val="15"/>
                <w:b w:val="1"/>
                <w:bCs w:val="1"/>
                <w:color w:val="auto"/>
              </w:rPr>
              <w:t>0.1</w:t>
            </w:r>
          </w:p>
        </w:tc>
        <w:tc>
          <w:tcPr>
            <w:tcW w:w="14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5"/>
                <w:szCs w:val="15"/>
                <w:color w:val="auto"/>
              </w:rPr>
              <w:t>(0.1)</w:t>
            </w:r>
          </w:p>
        </w:tc>
        <w:tc>
          <w:tcPr>
            <w:tcW w:w="17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5"/>
                <w:szCs w:val="15"/>
                <w:b w:val="1"/>
                <w:bCs w:val="1"/>
                <w:color w:val="auto"/>
              </w:rPr>
              <w:t>(1.2)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Comprehensive income attributable to Mohawk Industries, Inc.</w:t>
            </w:r>
          </w:p>
        </w:tc>
        <w:tc>
          <w:tcPr>
            <w:tcW w:w="40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w:t>
            </w:r>
          </w:p>
        </w:tc>
        <w:tc>
          <w:tcPr>
            <w:tcW w:w="1760" w:type="dxa"/>
            <w:vAlign w:val="bottom"/>
            <w:tcBorders>
              <w:bottom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5"/>
                <w:szCs w:val="15"/>
                <w:b w:val="1"/>
                <w:bCs w:val="1"/>
                <w:color w:val="auto"/>
              </w:rPr>
              <w:t>17.1</w:t>
            </w:r>
          </w:p>
        </w:tc>
        <w:tc>
          <w:tcPr>
            <w:tcW w:w="140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5"/>
                <w:szCs w:val="15"/>
                <w:color w:val="auto"/>
              </w:rPr>
              <w:t>76.8</w:t>
            </w:r>
          </w:p>
        </w:tc>
        <w:tc>
          <w:tcPr>
            <w:tcW w:w="178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5"/>
                <w:szCs w:val="15"/>
                <w:b w:val="1"/>
                <w:bCs w:val="1"/>
                <w:color w:val="auto"/>
              </w:rPr>
              <w:t>301.0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876.2</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6"/>
          <w:szCs w:val="16"/>
          <w:color w:val="auto"/>
        </w:rPr>
        <w:t>See accompanying notes to the Condensed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81280</wp:posOffset>
            </wp:positionV>
            <wp:extent cx="717169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0920"/>
          </w:cols>
          <w:pgMar w:left="320" w:top="13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millions, except par value and preferred stock shares)</w:t>
            </w:r>
          </w:p>
        </w:tc>
        <w:tc>
          <w:tcPr>
            <w:tcW w:w="800" w:type="dxa"/>
            <w:vAlign w:val="bottom"/>
          </w:tcPr>
          <w:p>
            <w:pPr>
              <w:spacing w:after="0"/>
              <w:rPr>
                <w:sz w:val="14"/>
                <w:szCs w:val="14"/>
                <w:color w:val="auto"/>
              </w:rPr>
            </w:pPr>
          </w:p>
        </w:tc>
        <w:tc>
          <w:tcPr>
            <w:tcW w:w="1660" w:type="dxa"/>
            <w:vAlign w:val="bottom"/>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October 3, 2026</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December 31, 2025</w:t>
            </w:r>
          </w:p>
        </w:tc>
      </w:tr>
      <w:tr>
        <w:trPr>
          <w:trHeight w:val="23"/>
        </w:trPr>
        <w:tc>
          <w:tcPr>
            <w:tcW w:w="7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8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93"/>
        </w:trPr>
        <w:tc>
          <w:tcPr>
            <w:tcW w:w="7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8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7"/>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8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66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816.8</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856.1</w:t>
            </w:r>
          </w:p>
        </w:tc>
      </w:tr>
      <w:tr>
        <w:trPr>
          <w:trHeight w:val="206"/>
        </w:trPr>
        <w:tc>
          <w:tcPr>
            <w:tcW w:w="72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Receivables, net</w:t>
            </w:r>
          </w:p>
        </w:tc>
        <w:tc>
          <w:tcPr>
            <w:tcW w:w="800" w:type="dxa"/>
            <w:vAlign w:val="bottom"/>
          </w:tcPr>
          <w:p>
            <w:pPr>
              <w:spacing w:after="0"/>
              <w:rPr>
                <w:sz w:val="17"/>
                <w:szCs w:val="17"/>
                <w:color w:val="auto"/>
              </w:rPr>
            </w:pPr>
          </w:p>
        </w:tc>
        <w:tc>
          <w:tcPr>
            <w:tcW w:w="1660" w:type="dxa"/>
            <w:vAlign w:val="bottom"/>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2,125.0</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1,924.1</w:t>
            </w:r>
          </w:p>
        </w:tc>
      </w:tr>
      <w:tr>
        <w:trPr>
          <w:trHeight w:val="206"/>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Inventories</w:t>
            </w:r>
          </w:p>
        </w:tc>
        <w:tc>
          <w:tcPr>
            <w:tcW w:w="8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2,591.6</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2,661.7</w:t>
            </w:r>
          </w:p>
        </w:tc>
      </w:tr>
      <w:tr>
        <w:trPr>
          <w:trHeight w:val="206"/>
        </w:trPr>
        <w:tc>
          <w:tcPr>
            <w:tcW w:w="72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Prepaid expenses</w:t>
            </w:r>
          </w:p>
        </w:tc>
        <w:tc>
          <w:tcPr>
            <w:tcW w:w="800" w:type="dxa"/>
            <w:vAlign w:val="bottom"/>
          </w:tcPr>
          <w:p>
            <w:pPr>
              <w:spacing w:after="0"/>
              <w:rPr>
                <w:sz w:val="17"/>
                <w:szCs w:val="17"/>
                <w:color w:val="auto"/>
              </w:rPr>
            </w:pPr>
          </w:p>
        </w:tc>
        <w:tc>
          <w:tcPr>
            <w:tcW w:w="1660" w:type="dxa"/>
            <w:vAlign w:val="bottom"/>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531.0</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512.2</w:t>
            </w:r>
          </w:p>
        </w:tc>
      </w:tr>
      <w:tr>
        <w:trPr>
          <w:trHeight w:val="206"/>
        </w:trPr>
        <w:tc>
          <w:tcPr>
            <w:tcW w:w="72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Other current assets</w:t>
            </w:r>
          </w:p>
        </w:tc>
        <w:tc>
          <w:tcPr>
            <w:tcW w:w="8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8.8</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198"/>
        </w:trPr>
        <w:tc>
          <w:tcPr>
            <w:tcW w:w="7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8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6,073.2</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5,967.1</w:t>
            </w:r>
          </w:p>
        </w:tc>
      </w:tr>
      <w:tr>
        <w:trPr>
          <w:trHeight w:val="198"/>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at cost</w:t>
            </w:r>
          </w:p>
        </w:tc>
        <w:tc>
          <w:tcPr>
            <w:tcW w:w="8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10,869.9</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11,032.0</w:t>
            </w:r>
          </w:p>
        </w:tc>
      </w:tr>
      <w:tr>
        <w:trPr>
          <w:trHeight w:val="206"/>
        </w:trPr>
        <w:tc>
          <w:tcPr>
            <w:tcW w:w="7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Less: accumulated depreciation and amortization</w:t>
            </w:r>
          </w:p>
        </w:tc>
        <w:tc>
          <w:tcPr>
            <w:tcW w:w="8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6,378.5</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6,260.0</w:t>
            </w:r>
          </w:p>
        </w:tc>
      </w:tr>
      <w:tr>
        <w:trPr>
          <w:trHeight w:val="198"/>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8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4,491.4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4,772.0</w:t>
            </w:r>
          </w:p>
        </w:tc>
      </w:tr>
      <w:tr>
        <w:trPr>
          <w:trHeight w:val="206"/>
        </w:trPr>
        <w:tc>
          <w:tcPr>
            <w:tcW w:w="7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Right of use operating lease assets</w:t>
            </w:r>
          </w:p>
        </w:tc>
        <w:tc>
          <w:tcPr>
            <w:tcW w:w="800" w:type="dxa"/>
            <w:vAlign w:val="bottom"/>
          </w:tcPr>
          <w:p>
            <w:pPr>
              <w:spacing w:after="0"/>
              <w:rPr>
                <w:sz w:val="17"/>
                <w:szCs w:val="17"/>
                <w:color w:val="auto"/>
              </w:rPr>
            </w:pPr>
          </w:p>
        </w:tc>
        <w:tc>
          <w:tcPr>
            <w:tcW w:w="1660" w:type="dxa"/>
            <w:vAlign w:val="bottom"/>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409.8</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408.7</w:t>
            </w:r>
          </w:p>
        </w:tc>
      </w:tr>
      <w:tr>
        <w:trPr>
          <w:trHeight w:val="20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8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1,171.0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1,210.3</w:t>
            </w:r>
          </w:p>
        </w:tc>
      </w:tr>
      <w:tr>
        <w:trPr>
          <w:trHeight w:val="206"/>
        </w:trPr>
        <w:tc>
          <w:tcPr>
            <w:tcW w:w="7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Tradenames</w:t>
            </w:r>
          </w:p>
        </w:tc>
        <w:tc>
          <w:tcPr>
            <w:tcW w:w="800" w:type="dxa"/>
            <w:vAlign w:val="bottom"/>
          </w:tcPr>
          <w:p>
            <w:pPr>
              <w:spacing w:after="0"/>
              <w:rPr>
                <w:sz w:val="17"/>
                <w:szCs w:val="17"/>
                <w:color w:val="auto"/>
              </w:rPr>
            </w:pPr>
          </w:p>
        </w:tc>
        <w:tc>
          <w:tcPr>
            <w:tcW w:w="1660" w:type="dxa"/>
            <w:vAlign w:val="bottom"/>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682.0</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695.8</w:t>
            </w:r>
          </w:p>
        </w:tc>
      </w:tr>
      <w:tr>
        <w:trPr>
          <w:trHeight w:val="20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intangible assets subject to amortization, net</w:t>
            </w:r>
          </w:p>
        </w:tc>
        <w:tc>
          <w:tcPr>
            <w:tcW w:w="8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100.5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r>
      <w:tr>
        <w:trPr>
          <w:trHeight w:val="206"/>
        </w:trPr>
        <w:tc>
          <w:tcPr>
            <w:tcW w:w="7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Deferred income taxes and other non-current assets</w:t>
            </w:r>
          </w:p>
        </w:tc>
        <w:tc>
          <w:tcPr>
            <w:tcW w:w="8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507.2</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516.0</w:t>
            </w:r>
          </w:p>
        </w:tc>
      </w:tr>
      <w:tr>
        <w:trPr>
          <w:trHeight w:val="203"/>
        </w:trPr>
        <w:tc>
          <w:tcPr>
            <w:tcW w:w="72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8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660" w:type="dxa"/>
            <w:vAlign w:val="bottom"/>
            <w:tcBorders>
              <w:bottom w:val="single" w:sz="8" w:color="auto"/>
            </w:tcBorders>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13,435.1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13,687.3</w:t>
            </w:r>
          </w:p>
        </w:tc>
      </w:tr>
      <w:tr>
        <w:trPr>
          <w:trHeight w:val="121"/>
        </w:trPr>
        <w:tc>
          <w:tcPr>
            <w:tcW w:w="7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520" w:type="dxa"/>
            <w:vAlign w:val="bottom"/>
          </w:tcPr>
          <w:p>
            <w:pPr>
              <w:spacing w:after="0"/>
              <w:rPr>
                <w:sz w:val="10"/>
                <w:szCs w:val="10"/>
                <w:color w:val="auto"/>
              </w:rPr>
            </w:pPr>
          </w:p>
        </w:tc>
      </w:tr>
      <w:tr>
        <w:trPr>
          <w:trHeight w:val="194"/>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8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93"/>
        </w:trPr>
        <w:tc>
          <w:tcPr>
            <w:tcW w:w="7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8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7"/>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Short-term debt and current portion of long-term debt</w:t>
            </w:r>
          </w:p>
        </w:tc>
        <w:tc>
          <w:tcPr>
            <w:tcW w:w="8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66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621.9</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w:t>
            </w:r>
          </w:p>
        </w:tc>
      </w:tr>
      <w:tr>
        <w:trPr>
          <w:trHeight w:val="206"/>
        </w:trPr>
        <w:tc>
          <w:tcPr>
            <w:tcW w:w="72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800" w:type="dxa"/>
            <w:vAlign w:val="bottom"/>
          </w:tcPr>
          <w:p>
            <w:pPr>
              <w:spacing w:after="0"/>
              <w:rPr>
                <w:sz w:val="17"/>
                <w:szCs w:val="17"/>
                <w:color w:val="auto"/>
              </w:rPr>
            </w:pPr>
          </w:p>
        </w:tc>
        <w:tc>
          <w:tcPr>
            <w:tcW w:w="1660" w:type="dxa"/>
            <w:vAlign w:val="bottom"/>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2,442.5</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2,310.4</w:t>
            </w:r>
          </w:p>
        </w:tc>
      </w:tr>
      <w:tr>
        <w:trPr>
          <w:trHeight w:val="206"/>
        </w:trPr>
        <w:tc>
          <w:tcPr>
            <w:tcW w:w="72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Current operating lease liabilities</w:t>
            </w:r>
          </w:p>
        </w:tc>
        <w:tc>
          <w:tcPr>
            <w:tcW w:w="8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116.7</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w:t>
            </w:r>
          </w:p>
        </w:tc>
      </w:tr>
      <w:tr>
        <w:trPr>
          <w:trHeight w:val="198"/>
        </w:trPr>
        <w:tc>
          <w:tcPr>
            <w:tcW w:w="726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800" w:type="dxa"/>
            <w:vAlign w:val="bottom"/>
          </w:tcPr>
          <w:p>
            <w:pPr>
              <w:spacing w:after="0"/>
              <w:rPr>
                <w:sz w:val="17"/>
                <w:szCs w:val="17"/>
                <w:color w:val="auto"/>
              </w:rPr>
            </w:pPr>
          </w:p>
        </w:tc>
        <w:tc>
          <w:tcPr>
            <w:tcW w:w="1660" w:type="dxa"/>
            <w:vAlign w:val="bottom"/>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3,181.1</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2,722.1</w:t>
            </w:r>
          </w:p>
        </w:tc>
      </w:tr>
      <w:tr>
        <w:trPr>
          <w:trHeight w:val="20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8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129.3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w:t>
            </w:r>
          </w:p>
        </w:tc>
      </w:tr>
      <w:tr>
        <w:trPr>
          <w:trHeight w:val="206"/>
        </w:trPr>
        <w:tc>
          <w:tcPr>
            <w:tcW w:w="7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debt, less current portion</w:t>
            </w:r>
          </w:p>
        </w:tc>
        <w:tc>
          <w:tcPr>
            <w:tcW w:w="800" w:type="dxa"/>
            <w:vAlign w:val="bottom"/>
          </w:tcPr>
          <w:p>
            <w:pPr>
              <w:spacing w:after="0"/>
              <w:rPr>
                <w:sz w:val="17"/>
                <w:szCs w:val="17"/>
                <w:color w:val="auto"/>
              </w:rPr>
            </w:pPr>
          </w:p>
        </w:tc>
        <w:tc>
          <w:tcPr>
            <w:tcW w:w="1660" w:type="dxa"/>
            <w:vAlign w:val="bottom"/>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1,160.8</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1,741.2</w:t>
            </w:r>
          </w:p>
        </w:tc>
      </w:tr>
      <w:tr>
        <w:trPr>
          <w:trHeight w:val="20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Non-current operating lease liabilities</w:t>
            </w:r>
          </w:p>
        </w:tc>
        <w:tc>
          <w:tcPr>
            <w:tcW w:w="8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310.4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304.4</w:t>
            </w:r>
          </w:p>
        </w:tc>
      </w:tr>
      <w:tr>
        <w:trPr>
          <w:trHeight w:val="206"/>
        </w:trPr>
        <w:tc>
          <w:tcPr>
            <w:tcW w:w="7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8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347.1</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355.5</w:t>
            </w:r>
          </w:p>
        </w:tc>
      </w:tr>
      <w:tr>
        <w:trPr>
          <w:trHeight w:val="198"/>
        </w:trPr>
        <w:tc>
          <w:tcPr>
            <w:tcW w:w="7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8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660" w:type="dxa"/>
            <w:vAlign w:val="bottom"/>
            <w:tcBorders>
              <w:bottom w:val="single" w:sz="8" w:color="auto"/>
            </w:tcBorders>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5,128.7</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5,308.6</w:t>
            </w:r>
          </w:p>
        </w:tc>
      </w:tr>
      <w:tr>
        <w:trPr>
          <w:trHeight w:val="184"/>
        </w:trPr>
        <w:tc>
          <w:tcPr>
            <w:tcW w:w="7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15)</w:t>
            </w:r>
          </w:p>
        </w:tc>
        <w:tc>
          <w:tcPr>
            <w:tcW w:w="8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9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Stockholders’ equity:</w:t>
            </w:r>
          </w:p>
        </w:tc>
        <w:tc>
          <w:tcPr>
            <w:tcW w:w="8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06"/>
        </w:trPr>
        <w:tc>
          <w:tcPr>
            <w:tcW w:w="7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Preferred stock, $.01 par value; 60,000 shares authorized; no shares issued</w:t>
            </w:r>
          </w:p>
        </w:tc>
        <w:tc>
          <w:tcPr>
            <w:tcW w:w="8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660" w:type="dxa"/>
            <w:vAlign w:val="bottom"/>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Common stock, $.01 par value; 150.0 shares authorized; 65.8 and 68.8 shares issued in 2026 and 2025, respectively</w:t>
            </w:r>
          </w:p>
        </w:tc>
        <w:tc>
          <w:tcPr>
            <w:tcW w:w="8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0.7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6"/>
        </w:trPr>
        <w:tc>
          <w:tcPr>
            <w:tcW w:w="72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800" w:type="dxa"/>
            <w:vAlign w:val="bottom"/>
          </w:tcPr>
          <w:p>
            <w:pPr>
              <w:spacing w:after="0"/>
              <w:rPr>
                <w:sz w:val="17"/>
                <w:szCs w:val="17"/>
                <w:color w:val="auto"/>
              </w:rPr>
            </w:pPr>
          </w:p>
        </w:tc>
        <w:tc>
          <w:tcPr>
            <w:tcW w:w="1660" w:type="dxa"/>
            <w:vAlign w:val="bottom"/>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2,008.9</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1,992.6</w:t>
            </w:r>
          </w:p>
        </w:tc>
      </w:tr>
      <w:tr>
        <w:trPr>
          <w:trHeight w:val="206"/>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Retained earnings</w:t>
            </w:r>
          </w:p>
        </w:tc>
        <w:tc>
          <w:tcPr>
            <w:tcW w:w="8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7,591.0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7,503.1</w:t>
            </w:r>
          </w:p>
        </w:tc>
      </w:tr>
      <w:tr>
        <w:trPr>
          <w:trHeight w:val="206"/>
        </w:trPr>
        <w:tc>
          <w:tcPr>
            <w:tcW w:w="7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Accumulated other comprehensive income (loss)</w:t>
            </w:r>
          </w:p>
        </w:tc>
        <w:tc>
          <w:tcPr>
            <w:tcW w:w="8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(1,083.3)</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(907.9)</w:t>
            </w:r>
          </w:p>
        </w:tc>
      </w:tr>
      <w:tr>
        <w:trPr>
          <w:trHeight w:val="198"/>
        </w:trPr>
        <w:tc>
          <w:tcPr>
            <w:tcW w:w="7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8,517.3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8,588.5</w:t>
            </w:r>
          </w:p>
        </w:tc>
      </w:tr>
      <w:tr>
        <w:trPr>
          <w:trHeight w:val="198"/>
        </w:trPr>
        <w:tc>
          <w:tcPr>
            <w:tcW w:w="7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Less: treasury stock at cost; 7.3 shares in 2026 and 2025</w:t>
            </w:r>
          </w:p>
        </w:tc>
        <w:tc>
          <w:tcPr>
            <w:tcW w:w="8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215.0</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215.2</w:t>
            </w:r>
          </w:p>
        </w:tc>
      </w:tr>
      <w:tr>
        <w:trPr>
          <w:trHeight w:val="198"/>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Mohawk Industries, Inc. stockholders' equity</w:t>
            </w:r>
          </w:p>
        </w:tc>
        <w:tc>
          <w:tcPr>
            <w:tcW w:w="8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8,302.3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8,373.3</w:t>
            </w:r>
          </w:p>
        </w:tc>
      </w:tr>
      <w:tr>
        <w:trPr>
          <w:trHeight w:val="206"/>
        </w:trPr>
        <w:tc>
          <w:tcPr>
            <w:tcW w:w="7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Noncontrolling interests</w:t>
            </w:r>
          </w:p>
        </w:tc>
        <w:tc>
          <w:tcPr>
            <w:tcW w:w="8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4.1</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198"/>
        </w:trPr>
        <w:tc>
          <w:tcPr>
            <w:tcW w:w="7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stockholders' equity</w:t>
            </w:r>
          </w:p>
        </w:tc>
        <w:tc>
          <w:tcPr>
            <w:tcW w:w="8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8,306.4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8,378.7</w:t>
            </w:r>
          </w:p>
        </w:tc>
      </w:tr>
      <w:tr>
        <w:trPr>
          <w:trHeight w:val="203"/>
        </w:trPr>
        <w:tc>
          <w:tcPr>
            <w:tcW w:w="7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8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6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13,435.1</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13,687.3</w:t>
            </w:r>
          </w:p>
        </w:tc>
      </w:tr>
    </w:tbl>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Condensed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81280</wp:posOffset>
            </wp:positionV>
            <wp:extent cx="717169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3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4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57"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7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60" w:type="dxa"/>
            <w:vAlign w:val="bottom"/>
            <w:gridSpan w:val="2"/>
          </w:tcPr>
          <w:p>
            <w:pPr>
              <w:jc w:val="right"/>
              <w:ind w:right="988"/>
              <w:spacing w:after="0"/>
              <w:rPr>
                <w:sz w:val="20"/>
                <w:szCs w:val="20"/>
                <w:color w:val="auto"/>
              </w:rPr>
            </w:pPr>
            <w:r>
              <w:rPr>
                <w:rFonts w:ascii="Times New Roman" w:cs="Times New Roman" w:eastAsia="Times New Roman" w:hAnsi="Times New Roman"/>
                <w:sz w:val="13"/>
                <w:szCs w:val="13"/>
                <w:color w:val="auto"/>
              </w:rPr>
              <w:t>Nine Months Ended</w:t>
            </w:r>
          </w:p>
        </w:tc>
        <w:tc>
          <w:tcPr>
            <w:tcW w:w="0" w:type="dxa"/>
            <w:vAlign w:val="bottom"/>
          </w:tcPr>
          <w:p>
            <w:pPr>
              <w:spacing w:after="0"/>
              <w:rPr>
                <w:sz w:val="1"/>
                <w:szCs w:val="1"/>
                <w:color w:val="auto"/>
              </w:rPr>
            </w:pPr>
          </w:p>
        </w:tc>
      </w:tr>
      <w:tr>
        <w:trPr>
          <w:trHeight w:val="23"/>
        </w:trPr>
        <w:tc>
          <w:tcPr>
            <w:tcW w:w="77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(In millions)</w:t>
            </w: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77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3"/>
                <w:szCs w:val="13"/>
                <w:b w:val="1"/>
                <w:bCs w:val="1"/>
                <w:color w:val="auto"/>
              </w:rPr>
              <w:t>October 3, 2026</w:t>
            </w:r>
          </w:p>
        </w:tc>
        <w:tc>
          <w:tcPr>
            <w:tcW w:w="14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3"/>
                <w:szCs w:val="13"/>
                <w:color w:val="auto"/>
              </w:rPr>
              <w:t>September 27, 2025</w:t>
            </w:r>
          </w:p>
        </w:tc>
        <w:tc>
          <w:tcPr>
            <w:tcW w:w="0" w:type="dxa"/>
            <w:vAlign w:val="bottom"/>
          </w:tcPr>
          <w:p>
            <w:pPr>
              <w:spacing w:after="0"/>
              <w:rPr>
                <w:sz w:val="1"/>
                <w:szCs w:val="1"/>
                <w:color w:val="auto"/>
              </w:rPr>
            </w:pPr>
          </w:p>
        </w:tc>
      </w:tr>
      <w:tr>
        <w:trPr>
          <w:trHeight w:val="19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earnings including noncontrolling interests</w:t>
            </w:r>
          </w:p>
        </w:tc>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500" w:type="dxa"/>
            <w:vAlign w:val="bottom"/>
          </w:tcPr>
          <w:p>
            <w:pPr>
              <w:jc w:val="right"/>
              <w:ind w:right="128"/>
              <w:spacing w:after="0"/>
              <w:rPr>
                <w:sz w:val="20"/>
                <w:szCs w:val="20"/>
                <w:color w:val="auto"/>
              </w:rPr>
            </w:pPr>
            <w:r>
              <w:rPr>
                <w:rFonts w:ascii="Times New Roman" w:cs="Times New Roman" w:eastAsia="Times New Roman" w:hAnsi="Times New Roman"/>
                <w:sz w:val="15"/>
                <w:szCs w:val="15"/>
                <w:b w:val="1"/>
                <w:bCs w:val="1"/>
                <w:color w:val="auto"/>
              </w:rPr>
              <w:t>476.5</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327.9</w:t>
            </w:r>
          </w:p>
        </w:tc>
        <w:tc>
          <w:tcPr>
            <w:tcW w:w="0" w:type="dxa"/>
            <w:vAlign w:val="bottom"/>
          </w:tcPr>
          <w:p>
            <w:pPr>
              <w:spacing w:after="0"/>
              <w:rPr>
                <w:sz w:val="1"/>
                <w:szCs w:val="1"/>
                <w:color w:val="auto"/>
              </w:rPr>
            </w:pPr>
          </w:p>
        </w:tc>
      </w:tr>
      <w:tr>
        <w:trPr>
          <w:trHeight w:val="19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earnings to net cash provided by operating activities:</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Restructuring, excluding accelerated depreciation</w:t>
            </w:r>
          </w:p>
        </w:tc>
        <w:tc>
          <w:tcPr>
            <w:tcW w:w="220" w:type="dxa"/>
            <w:vAlign w:val="bottom"/>
          </w:tcPr>
          <w:p>
            <w:pPr>
              <w:spacing w:after="0"/>
              <w:rPr>
                <w:sz w:val="16"/>
                <w:szCs w:val="16"/>
                <w:color w:val="auto"/>
              </w:rPr>
            </w:pPr>
          </w:p>
        </w:tc>
        <w:tc>
          <w:tcPr>
            <w:tcW w:w="1500" w:type="dxa"/>
            <w:vAlign w:val="bottom"/>
          </w:tcPr>
          <w:p>
            <w:pPr>
              <w:jc w:val="right"/>
              <w:ind w:right="128"/>
              <w:spacing w:after="0"/>
              <w:rPr>
                <w:sz w:val="20"/>
                <w:szCs w:val="20"/>
                <w:color w:val="auto"/>
              </w:rPr>
            </w:pPr>
            <w:r>
              <w:rPr>
                <w:rFonts w:ascii="Times New Roman" w:cs="Times New Roman" w:eastAsia="Times New Roman" w:hAnsi="Times New Roman"/>
                <w:sz w:val="15"/>
                <w:szCs w:val="15"/>
                <w:b w:val="1"/>
                <w:bCs w:val="1"/>
                <w:color w:val="auto"/>
              </w:rPr>
              <w:t>44.7</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75.6</w:t>
            </w:r>
          </w:p>
        </w:tc>
        <w:tc>
          <w:tcPr>
            <w:tcW w:w="0" w:type="dxa"/>
            <w:vAlign w:val="bottom"/>
          </w:tcPr>
          <w:p>
            <w:pPr>
              <w:spacing w:after="0"/>
              <w:rPr>
                <w:sz w:val="1"/>
                <w:szCs w:val="1"/>
                <w:color w:val="auto"/>
              </w:rPr>
            </w:pPr>
          </w:p>
        </w:tc>
      </w:tr>
      <w:tr>
        <w:trPr>
          <w:trHeight w:val="195"/>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5"/>
                <w:szCs w:val="15"/>
                <w:b w:val="1"/>
                <w:bCs w:val="1"/>
                <w:color w:val="auto"/>
              </w:rPr>
              <w:t>492.5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476.3</w:t>
            </w:r>
          </w:p>
        </w:tc>
        <w:tc>
          <w:tcPr>
            <w:tcW w:w="0" w:type="dxa"/>
            <w:vAlign w:val="bottom"/>
          </w:tcPr>
          <w:p>
            <w:pPr>
              <w:spacing w:after="0"/>
              <w:rPr>
                <w:sz w:val="1"/>
                <w:szCs w:val="1"/>
                <w:color w:val="auto"/>
              </w:rPr>
            </w:pPr>
          </w:p>
        </w:tc>
      </w:tr>
      <w:tr>
        <w:trPr>
          <w:trHeight w:val="193"/>
        </w:trPr>
        <w:tc>
          <w:tcPr>
            <w:tcW w:w="77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Deferred income taxes</w:t>
            </w:r>
          </w:p>
        </w:tc>
        <w:tc>
          <w:tcPr>
            <w:tcW w:w="220" w:type="dxa"/>
            <w:vAlign w:val="bottom"/>
          </w:tcPr>
          <w:p>
            <w:pPr>
              <w:spacing w:after="0"/>
              <w:rPr>
                <w:sz w:val="16"/>
                <w:szCs w:val="16"/>
                <w:color w:val="auto"/>
              </w:rPr>
            </w:pPr>
          </w:p>
        </w:tc>
        <w:tc>
          <w:tcPr>
            <w:tcW w:w="1500" w:type="dxa"/>
            <w:vAlign w:val="bottom"/>
          </w:tcPr>
          <w:p>
            <w:pPr>
              <w:jc w:val="right"/>
              <w:ind w:right="88"/>
              <w:spacing w:after="0"/>
              <w:rPr>
                <w:sz w:val="20"/>
                <w:szCs w:val="20"/>
                <w:color w:val="auto"/>
              </w:rPr>
            </w:pPr>
            <w:r>
              <w:rPr>
                <w:rFonts w:ascii="Times New Roman" w:cs="Times New Roman" w:eastAsia="Times New Roman" w:hAnsi="Times New Roman"/>
                <w:sz w:val="15"/>
                <w:szCs w:val="15"/>
                <w:b w:val="1"/>
                <w:bCs w:val="1"/>
                <w:color w:val="auto"/>
              </w:rPr>
              <w:t>(50.3)</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w:t>
            </w:r>
          </w:p>
        </w:tc>
        <w:tc>
          <w:tcPr>
            <w:tcW w:w="0" w:type="dxa"/>
            <w:vAlign w:val="bottom"/>
          </w:tcPr>
          <w:p>
            <w:pPr>
              <w:spacing w:after="0"/>
              <w:rPr>
                <w:sz w:val="1"/>
                <w:szCs w:val="1"/>
                <w:color w:val="auto"/>
              </w:rPr>
            </w:pPr>
          </w:p>
        </w:tc>
      </w:tr>
      <w:tr>
        <w:trPr>
          <w:trHeight w:val="195"/>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(Gain) loss on disposal of property, plant and equipment</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5"/>
                <w:szCs w:val="15"/>
                <w:b w:val="1"/>
                <w:bCs w:val="1"/>
                <w:color w:val="auto"/>
              </w:rPr>
              <w:t>14.6</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0" w:type="dxa"/>
            <w:vAlign w:val="bottom"/>
          </w:tcPr>
          <w:p>
            <w:pPr>
              <w:spacing w:after="0"/>
              <w:rPr>
                <w:sz w:val="1"/>
                <w:szCs w:val="1"/>
                <w:color w:val="auto"/>
              </w:rPr>
            </w:pPr>
          </w:p>
        </w:tc>
      </w:tr>
      <w:tr>
        <w:trPr>
          <w:trHeight w:val="193"/>
        </w:trPr>
        <w:tc>
          <w:tcPr>
            <w:tcW w:w="77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20" w:type="dxa"/>
            <w:vAlign w:val="bottom"/>
          </w:tcPr>
          <w:p>
            <w:pPr>
              <w:spacing w:after="0"/>
              <w:rPr>
                <w:sz w:val="16"/>
                <w:szCs w:val="16"/>
                <w:color w:val="auto"/>
              </w:rPr>
            </w:pPr>
          </w:p>
        </w:tc>
        <w:tc>
          <w:tcPr>
            <w:tcW w:w="1500" w:type="dxa"/>
            <w:vAlign w:val="bottom"/>
          </w:tcPr>
          <w:p>
            <w:pPr>
              <w:jc w:val="right"/>
              <w:ind w:right="128"/>
              <w:spacing w:after="0"/>
              <w:rPr>
                <w:sz w:val="20"/>
                <w:szCs w:val="20"/>
                <w:color w:val="auto"/>
              </w:rPr>
            </w:pPr>
            <w:r>
              <w:rPr>
                <w:rFonts w:ascii="Times New Roman" w:cs="Times New Roman" w:eastAsia="Times New Roman" w:hAnsi="Times New Roman"/>
                <w:sz w:val="15"/>
                <w:szCs w:val="15"/>
                <w:b w:val="1"/>
                <w:bCs w:val="1"/>
                <w:color w:val="auto"/>
              </w:rPr>
              <w:t>22.7</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w:t>
            </w:r>
          </w:p>
        </w:tc>
        <w:tc>
          <w:tcPr>
            <w:tcW w:w="0" w:type="dxa"/>
            <w:vAlign w:val="bottom"/>
          </w:tcPr>
          <w:p>
            <w:pPr>
              <w:spacing w:after="0"/>
              <w:rPr>
                <w:sz w:val="1"/>
                <w:szCs w:val="1"/>
                <w:color w:val="auto"/>
              </w:rPr>
            </w:pPr>
          </w:p>
        </w:tc>
      </w:tr>
      <w:tr>
        <w:trPr>
          <w:trHeight w:val="19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operating assets and liabilities, net of effects of acquisitions:</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Receivables, net</w:t>
            </w:r>
          </w:p>
        </w:tc>
        <w:tc>
          <w:tcPr>
            <w:tcW w:w="220" w:type="dxa"/>
            <w:vAlign w:val="bottom"/>
          </w:tcPr>
          <w:p>
            <w:pPr>
              <w:spacing w:after="0"/>
              <w:rPr>
                <w:sz w:val="16"/>
                <w:szCs w:val="16"/>
                <w:color w:val="auto"/>
              </w:rPr>
            </w:pPr>
          </w:p>
        </w:tc>
        <w:tc>
          <w:tcPr>
            <w:tcW w:w="1500" w:type="dxa"/>
            <w:vAlign w:val="bottom"/>
          </w:tcPr>
          <w:p>
            <w:pPr>
              <w:jc w:val="right"/>
              <w:ind w:right="88"/>
              <w:spacing w:after="0"/>
              <w:rPr>
                <w:sz w:val="20"/>
                <w:szCs w:val="20"/>
                <w:color w:val="auto"/>
              </w:rPr>
            </w:pPr>
            <w:r>
              <w:rPr>
                <w:rFonts w:ascii="Times New Roman" w:cs="Times New Roman" w:eastAsia="Times New Roman" w:hAnsi="Times New Roman"/>
                <w:sz w:val="15"/>
                <w:szCs w:val="15"/>
                <w:b w:val="1"/>
                <w:bCs w:val="1"/>
                <w:color w:val="auto"/>
              </w:rPr>
              <w:t>(239.5)</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(313.3)</w:t>
            </w:r>
          </w:p>
        </w:tc>
        <w:tc>
          <w:tcPr>
            <w:tcW w:w="0" w:type="dxa"/>
            <w:vAlign w:val="bottom"/>
          </w:tcPr>
          <w:p>
            <w:pPr>
              <w:spacing w:after="0"/>
              <w:rPr>
                <w:sz w:val="1"/>
                <w:szCs w:val="1"/>
                <w:color w:val="auto"/>
              </w:rPr>
            </w:pPr>
          </w:p>
        </w:tc>
      </w:tr>
      <w:tr>
        <w:trPr>
          <w:trHeight w:val="195"/>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Inventories</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5"/>
                <w:szCs w:val="15"/>
                <w:b w:val="1"/>
                <w:bCs w:val="1"/>
                <w:color w:val="auto"/>
              </w:rPr>
              <w:t>25.3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(75.2)</w:t>
            </w:r>
          </w:p>
        </w:tc>
        <w:tc>
          <w:tcPr>
            <w:tcW w:w="0" w:type="dxa"/>
            <w:vAlign w:val="bottom"/>
          </w:tcPr>
          <w:p>
            <w:pPr>
              <w:spacing w:after="0"/>
              <w:rPr>
                <w:sz w:val="1"/>
                <w:szCs w:val="1"/>
                <w:color w:val="auto"/>
              </w:rPr>
            </w:pPr>
          </w:p>
        </w:tc>
      </w:tr>
      <w:tr>
        <w:trPr>
          <w:trHeight w:val="193"/>
        </w:trPr>
        <w:tc>
          <w:tcPr>
            <w:tcW w:w="77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220" w:type="dxa"/>
            <w:vAlign w:val="bottom"/>
          </w:tcPr>
          <w:p>
            <w:pPr>
              <w:spacing w:after="0"/>
              <w:rPr>
                <w:sz w:val="16"/>
                <w:szCs w:val="16"/>
                <w:color w:val="auto"/>
              </w:rPr>
            </w:pPr>
          </w:p>
        </w:tc>
        <w:tc>
          <w:tcPr>
            <w:tcW w:w="1500" w:type="dxa"/>
            <w:vAlign w:val="bottom"/>
          </w:tcPr>
          <w:p>
            <w:pPr>
              <w:jc w:val="right"/>
              <w:ind w:right="128"/>
              <w:spacing w:after="0"/>
              <w:rPr>
                <w:sz w:val="20"/>
                <w:szCs w:val="20"/>
                <w:color w:val="auto"/>
              </w:rPr>
            </w:pPr>
            <w:r>
              <w:rPr>
                <w:rFonts w:ascii="Times New Roman" w:cs="Times New Roman" w:eastAsia="Times New Roman" w:hAnsi="Times New Roman"/>
                <w:sz w:val="15"/>
                <w:szCs w:val="15"/>
                <w:b w:val="1"/>
                <w:bCs w:val="1"/>
                <w:color w:val="auto"/>
              </w:rPr>
              <w:t>150.1</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161.2</w:t>
            </w:r>
          </w:p>
        </w:tc>
        <w:tc>
          <w:tcPr>
            <w:tcW w:w="0" w:type="dxa"/>
            <w:vAlign w:val="bottom"/>
          </w:tcPr>
          <w:p>
            <w:pPr>
              <w:spacing w:after="0"/>
              <w:rPr>
                <w:sz w:val="1"/>
                <w:szCs w:val="1"/>
                <w:color w:val="auto"/>
              </w:rPr>
            </w:pPr>
          </w:p>
        </w:tc>
      </w:tr>
      <w:tr>
        <w:trPr>
          <w:trHeight w:val="195"/>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assets and prepaid expenses</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5"/>
                <w:szCs w:val="15"/>
                <w:b w:val="1"/>
                <w:bCs w:val="1"/>
                <w:color w:val="auto"/>
              </w:rPr>
              <w:t>(33.6)</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w:t>
            </w:r>
          </w:p>
        </w:tc>
        <w:tc>
          <w:tcPr>
            <w:tcW w:w="0" w:type="dxa"/>
            <w:vAlign w:val="bottom"/>
          </w:tcPr>
          <w:p>
            <w:pPr>
              <w:spacing w:after="0"/>
              <w:rPr>
                <w:sz w:val="1"/>
                <w:szCs w:val="1"/>
                <w:color w:val="auto"/>
              </w:rPr>
            </w:pPr>
          </w:p>
        </w:tc>
      </w:tr>
      <w:tr>
        <w:trPr>
          <w:trHeight w:val="193"/>
        </w:trPr>
        <w:tc>
          <w:tcPr>
            <w:tcW w:w="7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Other liabilities</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5"/>
                <w:szCs w:val="15"/>
                <w:b w:val="1"/>
                <w:bCs w:val="1"/>
                <w:color w:val="auto"/>
              </w:rPr>
              <w:t>(5.2)</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20.4</w:t>
            </w:r>
          </w:p>
        </w:tc>
        <w:tc>
          <w:tcPr>
            <w:tcW w:w="0" w:type="dxa"/>
            <w:vAlign w:val="bottom"/>
          </w:tcPr>
          <w:p>
            <w:pPr>
              <w:spacing w:after="0"/>
              <w:rPr>
                <w:sz w:val="1"/>
                <w:szCs w:val="1"/>
                <w:color w:val="auto"/>
              </w:rPr>
            </w:pPr>
          </w:p>
        </w:tc>
      </w:tr>
      <w:tr>
        <w:trPr>
          <w:trHeight w:val="186"/>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5"/>
                <w:szCs w:val="15"/>
                <w:b w:val="1"/>
                <w:bCs w:val="1"/>
                <w:color w:val="auto"/>
              </w:rPr>
              <w:t>897.8</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596.6</w:t>
            </w:r>
          </w:p>
        </w:tc>
        <w:tc>
          <w:tcPr>
            <w:tcW w:w="0" w:type="dxa"/>
            <w:vAlign w:val="bottom"/>
          </w:tcPr>
          <w:p>
            <w:pPr>
              <w:spacing w:after="0"/>
              <w:rPr>
                <w:sz w:val="1"/>
                <w:szCs w:val="1"/>
                <w:color w:val="auto"/>
              </w:rPr>
            </w:pPr>
          </w:p>
        </w:tc>
      </w:tr>
      <w:tr>
        <w:trPr>
          <w:trHeight w:val="186"/>
        </w:trPr>
        <w:tc>
          <w:tcPr>
            <w:tcW w:w="77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Additions to property, plant and equipment</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5"/>
                <w:szCs w:val="15"/>
                <w:b w:val="1"/>
                <w:bCs w:val="1"/>
                <w:color w:val="auto"/>
              </w:rPr>
              <w:t>(271.5)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(245.6)</w:t>
            </w:r>
          </w:p>
        </w:tc>
        <w:tc>
          <w:tcPr>
            <w:tcW w:w="0" w:type="dxa"/>
            <w:vAlign w:val="bottom"/>
          </w:tcPr>
          <w:p>
            <w:pPr>
              <w:spacing w:after="0"/>
              <w:rPr>
                <w:sz w:val="1"/>
                <w:szCs w:val="1"/>
                <w:color w:val="auto"/>
              </w:rPr>
            </w:pPr>
          </w:p>
        </w:tc>
      </w:tr>
      <w:tr>
        <w:trPr>
          <w:trHeight w:val="193"/>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Divestitures</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5"/>
                <w:szCs w:val="15"/>
                <w:b w:val="1"/>
                <w:bCs w:val="1"/>
                <w:color w:val="auto"/>
              </w:rPr>
              <w:t>6.7</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5"/>
                <w:szCs w:val="15"/>
                <w:b w:val="1"/>
                <w:bCs w:val="1"/>
                <w:color w:val="auto"/>
              </w:rPr>
              <w:t>(264.8)</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(245.6)</w:t>
            </w:r>
          </w:p>
        </w:tc>
        <w:tc>
          <w:tcPr>
            <w:tcW w:w="0" w:type="dxa"/>
            <w:vAlign w:val="bottom"/>
          </w:tcPr>
          <w:p>
            <w:pPr>
              <w:spacing w:after="0"/>
              <w:rPr>
                <w:sz w:val="1"/>
                <w:szCs w:val="1"/>
                <w:color w:val="auto"/>
              </w:rPr>
            </w:pPr>
          </w:p>
        </w:tc>
      </w:tr>
      <w:tr>
        <w:trPr>
          <w:trHeight w:val="186"/>
        </w:trPr>
        <w:tc>
          <w:tcPr>
            <w:tcW w:w="77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Payments on Senior Credit Facility</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5"/>
                <w:szCs w:val="15"/>
                <w:b w:val="1"/>
                <w:bCs w:val="1"/>
                <w:color w:val="auto"/>
              </w:rPr>
              <w:t>(195.8)</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(413.0)</w:t>
            </w:r>
          </w:p>
        </w:tc>
        <w:tc>
          <w:tcPr>
            <w:tcW w:w="0" w:type="dxa"/>
            <w:vAlign w:val="bottom"/>
          </w:tcPr>
          <w:p>
            <w:pPr>
              <w:spacing w:after="0"/>
              <w:rPr>
                <w:sz w:val="1"/>
                <w:szCs w:val="1"/>
                <w:color w:val="auto"/>
              </w:rPr>
            </w:pPr>
          </w:p>
        </w:tc>
      </w:tr>
      <w:tr>
        <w:trPr>
          <w:trHeight w:val="193"/>
        </w:trPr>
        <w:tc>
          <w:tcPr>
            <w:tcW w:w="7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Senior Credit Facility</w:t>
            </w:r>
          </w:p>
        </w:tc>
        <w:tc>
          <w:tcPr>
            <w:tcW w:w="220" w:type="dxa"/>
            <w:vAlign w:val="bottom"/>
          </w:tcPr>
          <w:p>
            <w:pPr>
              <w:spacing w:after="0"/>
              <w:rPr>
                <w:sz w:val="16"/>
                <w:szCs w:val="16"/>
                <w:color w:val="auto"/>
              </w:rPr>
            </w:pPr>
          </w:p>
        </w:tc>
        <w:tc>
          <w:tcPr>
            <w:tcW w:w="1500" w:type="dxa"/>
            <w:vAlign w:val="bottom"/>
          </w:tcPr>
          <w:p>
            <w:pPr>
              <w:jc w:val="right"/>
              <w:ind w:right="128"/>
              <w:spacing w:after="0"/>
              <w:rPr>
                <w:sz w:val="20"/>
                <w:szCs w:val="20"/>
                <w:color w:val="auto"/>
              </w:rPr>
            </w:pPr>
            <w:r>
              <w:rPr>
                <w:rFonts w:ascii="Times New Roman" w:cs="Times New Roman" w:eastAsia="Times New Roman" w:hAnsi="Times New Roman"/>
                <w:sz w:val="15"/>
                <w:szCs w:val="15"/>
                <w:b w:val="1"/>
                <w:bCs w:val="1"/>
                <w:color w:val="auto"/>
              </w:rPr>
              <w:t>195.8</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429.9</w:t>
            </w:r>
          </w:p>
        </w:tc>
        <w:tc>
          <w:tcPr>
            <w:tcW w:w="0" w:type="dxa"/>
            <w:vAlign w:val="bottom"/>
          </w:tcPr>
          <w:p>
            <w:pPr>
              <w:spacing w:after="0"/>
              <w:rPr>
                <w:sz w:val="1"/>
                <w:szCs w:val="1"/>
                <w:color w:val="auto"/>
              </w:rPr>
            </w:pPr>
          </w:p>
        </w:tc>
      </w:tr>
      <w:tr>
        <w:trPr>
          <w:trHeight w:val="19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Payments on commercial paper</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5"/>
                <w:szCs w:val="15"/>
                <w:b w:val="1"/>
                <w:bCs w:val="1"/>
                <w:color w:val="auto"/>
              </w:rPr>
              <w:t>(10,051.6)</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(7,666.4)</w:t>
            </w:r>
          </w:p>
        </w:tc>
        <w:tc>
          <w:tcPr>
            <w:tcW w:w="0" w:type="dxa"/>
            <w:vAlign w:val="bottom"/>
          </w:tcPr>
          <w:p>
            <w:pPr>
              <w:spacing w:after="0"/>
              <w:rPr>
                <w:sz w:val="1"/>
                <w:szCs w:val="1"/>
                <w:color w:val="auto"/>
              </w:rPr>
            </w:pPr>
          </w:p>
        </w:tc>
      </w:tr>
      <w:tr>
        <w:trPr>
          <w:trHeight w:val="193"/>
        </w:trPr>
        <w:tc>
          <w:tcPr>
            <w:tcW w:w="7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commercial paper</w:t>
            </w:r>
          </w:p>
        </w:tc>
        <w:tc>
          <w:tcPr>
            <w:tcW w:w="220" w:type="dxa"/>
            <w:vAlign w:val="bottom"/>
          </w:tcPr>
          <w:p>
            <w:pPr>
              <w:spacing w:after="0"/>
              <w:rPr>
                <w:sz w:val="16"/>
                <w:szCs w:val="16"/>
                <w:color w:val="auto"/>
              </w:rPr>
            </w:pPr>
          </w:p>
        </w:tc>
        <w:tc>
          <w:tcPr>
            <w:tcW w:w="1500" w:type="dxa"/>
            <w:vAlign w:val="bottom"/>
          </w:tcPr>
          <w:p>
            <w:pPr>
              <w:jc w:val="right"/>
              <w:ind w:right="128"/>
              <w:spacing w:after="0"/>
              <w:rPr>
                <w:sz w:val="20"/>
                <w:szCs w:val="20"/>
                <w:color w:val="auto"/>
              </w:rPr>
            </w:pPr>
            <w:r>
              <w:rPr>
                <w:rFonts w:ascii="Times New Roman" w:cs="Times New Roman" w:eastAsia="Times New Roman" w:hAnsi="Times New Roman"/>
                <w:sz w:val="15"/>
                <w:szCs w:val="15"/>
                <w:b w:val="1"/>
                <w:bCs w:val="1"/>
                <w:color w:val="auto"/>
              </w:rPr>
              <w:t>9,820.7</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7,251.0</w:t>
            </w:r>
          </w:p>
        </w:tc>
        <w:tc>
          <w:tcPr>
            <w:tcW w:w="0" w:type="dxa"/>
            <w:vAlign w:val="bottom"/>
          </w:tcPr>
          <w:p>
            <w:pPr>
              <w:spacing w:after="0"/>
              <w:rPr>
                <w:sz w:val="1"/>
                <w:szCs w:val="1"/>
                <w:color w:val="auto"/>
              </w:rPr>
            </w:pPr>
          </w:p>
        </w:tc>
      </w:tr>
      <w:tr>
        <w:trPr>
          <w:trHeight w:val="19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payments of other financing activities</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5"/>
                <w:szCs w:val="15"/>
                <w:b w:val="1"/>
                <w:bCs w:val="1"/>
                <w:color w:val="auto"/>
              </w:rPr>
              <w:t>(28.4)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0" w:type="dxa"/>
            <w:vAlign w:val="bottom"/>
          </w:tcPr>
          <w:p>
            <w:pPr>
              <w:spacing w:after="0"/>
              <w:rPr>
                <w:sz w:val="1"/>
                <w:szCs w:val="1"/>
                <w:color w:val="auto"/>
              </w:rPr>
            </w:pPr>
          </w:p>
        </w:tc>
      </w:tr>
      <w:tr>
        <w:trPr>
          <w:trHeight w:val="193"/>
        </w:trPr>
        <w:tc>
          <w:tcPr>
            <w:tcW w:w="7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 of Mohawk common stock</w:t>
            </w:r>
          </w:p>
        </w:tc>
        <w:tc>
          <w:tcPr>
            <w:tcW w:w="220" w:type="dxa"/>
            <w:vAlign w:val="bottom"/>
          </w:tcPr>
          <w:p>
            <w:pPr>
              <w:spacing w:after="0"/>
              <w:rPr>
                <w:sz w:val="16"/>
                <w:szCs w:val="16"/>
                <w:color w:val="auto"/>
              </w:rPr>
            </w:pPr>
          </w:p>
        </w:tc>
        <w:tc>
          <w:tcPr>
            <w:tcW w:w="1500" w:type="dxa"/>
            <w:vAlign w:val="bottom"/>
          </w:tcPr>
          <w:p>
            <w:pPr>
              <w:jc w:val="right"/>
              <w:ind w:right="88"/>
              <w:spacing w:after="0"/>
              <w:rPr>
                <w:sz w:val="20"/>
                <w:szCs w:val="20"/>
                <w:color w:val="auto"/>
              </w:rPr>
            </w:pPr>
            <w:r>
              <w:rPr>
                <w:rFonts w:ascii="Times New Roman" w:cs="Times New Roman" w:eastAsia="Times New Roman" w:hAnsi="Times New Roman"/>
                <w:sz w:val="15"/>
                <w:szCs w:val="15"/>
                <w:b w:val="1"/>
                <w:bCs w:val="1"/>
                <w:color w:val="auto"/>
              </w:rPr>
              <w:t>(385.5)</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(108.7)</w:t>
            </w:r>
          </w:p>
        </w:tc>
        <w:tc>
          <w:tcPr>
            <w:tcW w:w="0" w:type="dxa"/>
            <w:vAlign w:val="bottom"/>
          </w:tcPr>
          <w:p>
            <w:pPr>
              <w:spacing w:after="0"/>
              <w:rPr>
                <w:sz w:val="1"/>
                <w:szCs w:val="1"/>
                <w:color w:val="auto"/>
              </w:rPr>
            </w:pPr>
          </w:p>
        </w:tc>
      </w:tr>
      <w:tr>
        <w:trPr>
          <w:trHeight w:val="194"/>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 in outstanding checks in excess of cash</w:t>
            </w:r>
          </w:p>
        </w:tc>
        <w:tc>
          <w:tcPr>
            <w:tcW w:w="2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5"/>
                <w:szCs w:val="15"/>
                <w:b w:val="1"/>
                <w:bCs w:val="1"/>
                <w:color w:val="auto"/>
              </w:rPr>
              <w:t>(0.8)</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0" w:type="dxa"/>
            <w:vAlign w:val="bottom"/>
          </w:tcPr>
          <w:p>
            <w:pPr>
              <w:spacing w:after="0"/>
              <w:rPr>
                <w:sz w:val="1"/>
                <w:szCs w:val="1"/>
                <w:color w:val="auto"/>
              </w:rPr>
            </w:pPr>
          </w:p>
        </w:tc>
      </w:tr>
      <w:tr>
        <w:trPr>
          <w:trHeight w:val="186"/>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financing activities</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5"/>
                <w:szCs w:val="15"/>
                <w:b w:val="1"/>
                <w:bCs w:val="1"/>
                <w:color w:val="auto"/>
              </w:rPr>
              <w:t>(645.6)</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(532.4)</w:t>
            </w:r>
          </w:p>
        </w:tc>
        <w:tc>
          <w:tcPr>
            <w:tcW w:w="0" w:type="dxa"/>
            <w:vAlign w:val="bottom"/>
          </w:tcPr>
          <w:p>
            <w:pPr>
              <w:spacing w:after="0"/>
              <w:rPr>
                <w:sz w:val="1"/>
                <w:szCs w:val="1"/>
                <w:color w:val="auto"/>
              </w:rPr>
            </w:pPr>
          </w:p>
        </w:tc>
      </w:tr>
      <w:tr>
        <w:trPr>
          <w:trHeight w:val="186"/>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5"/>
                <w:szCs w:val="15"/>
                <w:b w:val="1"/>
                <w:bCs w:val="1"/>
                <w:color w:val="auto"/>
              </w:rPr>
              <w:t>(26.7)</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w:t>
            </w:r>
          </w:p>
        </w:tc>
        <w:tc>
          <w:tcPr>
            <w:tcW w:w="0" w:type="dxa"/>
            <w:vAlign w:val="bottom"/>
          </w:tcPr>
          <w:p>
            <w:pPr>
              <w:spacing w:after="0"/>
              <w:rPr>
                <w:sz w:val="1"/>
                <w:szCs w:val="1"/>
                <w:color w:val="auto"/>
              </w:rPr>
            </w:pPr>
          </w:p>
        </w:tc>
      </w:tr>
      <w:tr>
        <w:trPr>
          <w:trHeight w:val="186"/>
        </w:trPr>
        <w:tc>
          <w:tcPr>
            <w:tcW w:w="7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change in cash and cash equivalents</w:t>
            </w:r>
          </w:p>
        </w:tc>
        <w:tc>
          <w:tcPr>
            <w:tcW w:w="220" w:type="dxa"/>
            <w:vAlign w:val="bottom"/>
          </w:tcPr>
          <w:p>
            <w:pPr>
              <w:spacing w:after="0"/>
              <w:rPr>
                <w:sz w:val="16"/>
                <w:szCs w:val="16"/>
                <w:color w:val="auto"/>
              </w:rPr>
            </w:pPr>
          </w:p>
        </w:tc>
        <w:tc>
          <w:tcPr>
            <w:tcW w:w="1500" w:type="dxa"/>
            <w:vAlign w:val="bottom"/>
          </w:tcPr>
          <w:p>
            <w:pPr>
              <w:jc w:val="right"/>
              <w:ind w:right="88"/>
              <w:spacing w:after="0"/>
              <w:rPr>
                <w:sz w:val="20"/>
                <w:szCs w:val="20"/>
                <w:color w:val="auto"/>
              </w:rPr>
            </w:pPr>
            <w:r>
              <w:rPr>
                <w:rFonts w:ascii="Times New Roman" w:cs="Times New Roman" w:eastAsia="Times New Roman" w:hAnsi="Times New Roman"/>
                <w:sz w:val="15"/>
                <w:szCs w:val="15"/>
                <w:b w:val="1"/>
                <w:bCs w:val="1"/>
                <w:color w:val="auto"/>
              </w:rPr>
              <w:t>(39.3)</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(150.4)</w:t>
            </w:r>
          </w:p>
        </w:tc>
        <w:tc>
          <w:tcPr>
            <w:tcW w:w="0" w:type="dxa"/>
            <w:vAlign w:val="bottom"/>
          </w:tcPr>
          <w:p>
            <w:pPr>
              <w:spacing w:after="0"/>
              <w:rPr>
                <w:sz w:val="1"/>
                <w:szCs w:val="1"/>
                <w:color w:val="auto"/>
              </w:rPr>
            </w:pPr>
          </w:p>
        </w:tc>
      </w:tr>
      <w:tr>
        <w:trPr>
          <w:trHeight w:val="194"/>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beginning of period</w:t>
            </w:r>
          </w:p>
        </w:tc>
        <w:tc>
          <w:tcPr>
            <w:tcW w:w="2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5"/>
                <w:szCs w:val="15"/>
                <w:b w:val="1"/>
                <w:bCs w:val="1"/>
                <w:color w:val="auto"/>
              </w:rPr>
              <w:t>856.1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666.6</w:t>
            </w:r>
          </w:p>
        </w:tc>
        <w:tc>
          <w:tcPr>
            <w:tcW w:w="0" w:type="dxa"/>
            <w:vAlign w:val="bottom"/>
          </w:tcPr>
          <w:p>
            <w:pPr>
              <w:spacing w:after="0"/>
              <w:rPr>
                <w:sz w:val="1"/>
                <w:szCs w:val="1"/>
                <w:color w:val="auto"/>
              </w:rPr>
            </w:pPr>
          </w:p>
        </w:tc>
      </w:tr>
      <w:tr>
        <w:trPr>
          <w:trHeight w:val="192"/>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end of period</w:t>
            </w:r>
          </w:p>
        </w:tc>
        <w:tc>
          <w:tcPr>
            <w:tcW w:w="22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5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5"/>
                <w:szCs w:val="15"/>
                <w:b w:val="1"/>
                <w:bCs w:val="1"/>
                <w:color w:val="auto"/>
              </w:rPr>
              <w:t>816.8</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516.2</w:t>
            </w:r>
          </w:p>
        </w:tc>
        <w:tc>
          <w:tcPr>
            <w:tcW w:w="0" w:type="dxa"/>
            <w:vAlign w:val="bottom"/>
          </w:tcPr>
          <w:p>
            <w:pPr>
              <w:spacing w:after="0"/>
              <w:rPr>
                <w:sz w:val="1"/>
                <w:szCs w:val="1"/>
                <w:color w:val="auto"/>
              </w:rPr>
            </w:pPr>
          </w:p>
        </w:tc>
      </w:tr>
    </w:tbl>
    <w:p>
      <w:pPr>
        <w:spacing w:after="0" w:line="1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73660</wp:posOffset>
            </wp:positionV>
            <wp:extent cx="717169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000"/>
          </w:cols>
          <w:pgMar w:left="320" w:top="135" w:right="5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FINANCIAL STATEMENTS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General</w:t>
      </w:r>
    </w:p>
    <w:p>
      <w:pPr>
        <w:spacing w:after="0" w:line="267" w:lineRule="exact"/>
        <w:rPr>
          <w:sz w:val="20"/>
          <w:szCs w:val="20"/>
          <w:color w:val="auto"/>
        </w:rPr>
      </w:pPr>
    </w:p>
    <w:p>
      <w:pPr>
        <w:ind w:right="120" w:firstLine="582"/>
        <w:spacing w:after="0" w:line="318" w:lineRule="auto"/>
        <w:rPr>
          <w:sz w:val="20"/>
          <w:szCs w:val="20"/>
          <w:color w:val="auto"/>
        </w:rPr>
      </w:pPr>
      <w:r>
        <w:rPr>
          <w:rFonts w:ascii="Times New Roman" w:cs="Times New Roman" w:eastAsia="Times New Roman" w:hAnsi="Times New Roman"/>
          <w:sz w:val="16"/>
          <w:szCs w:val="16"/>
          <w:color w:val="auto"/>
        </w:rPr>
        <w:t>Unless this Form 10-Q indicates otherwise or the context otherwise requires, the terms “we,” “our,” “us,” “Mohawk,” or “the Company” as used in this Form 10-Q refer to Mohawk Industries,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Interim Reporting</w:t>
      </w:r>
    </w:p>
    <w:p>
      <w:pPr>
        <w:spacing w:after="0" w:line="255" w:lineRule="exact"/>
        <w:rPr>
          <w:sz w:val="20"/>
          <w:szCs w:val="20"/>
          <w:color w:val="auto"/>
        </w:rPr>
      </w:pPr>
    </w:p>
    <w:p>
      <w:pPr>
        <w:jc w:val="both"/>
        <w:ind w:firstLine="582"/>
        <w:spacing w:after="0" w:line="303"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have been prepared in accordance with instructions to Form 10-Q and do not include all of the information and footnotes required by United States generally accepted accounting principles (“U.S. GAAP”) for complete financial statements. In the opinion of management, all adjustments (consisting of normal recurring accruals) considered necessary for a fair presentation have been included. These statements should be read in conjunction with the Consolidated Financial Statements and notes thereto, and the Company’s description of critical accounting policies, included in the Company’s 2025 Annual Report on Form 10-K, as filed with the U.S. Securities and Exchange Commission. Results for interim periods are not necessarily indicative of the results for the year.</w:t>
      </w:r>
    </w:p>
    <w:p>
      <w:pPr>
        <w:spacing w:after="0" w:line="200" w:lineRule="exact"/>
        <w:rPr>
          <w:sz w:val="20"/>
          <w:szCs w:val="20"/>
          <w:color w:val="auto"/>
        </w:rPr>
      </w:pPr>
    </w:p>
    <w:p>
      <w:pPr>
        <w:spacing w:after="0" w:line="215" w:lineRule="exact"/>
        <w:rPr>
          <w:sz w:val="20"/>
          <w:szCs w:val="20"/>
          <w:color w:val="auto"/>
        </w:rPr>
      </w:pPr>
    </w:p>
    <w:p>
      <w:pPr>
        <w:jc w:val="both"/>
        <w:ind w:firstLine="582"/>
        <w:spacing w:after="0" w:line="301" w:lineRule="auto"/>
        <w:rPr>
          <w:sz w:val="20"/>
          <w:szCs w:val="20"/>
          <w:color w:val="auto"/>
        </w:rPr>
      </w:pPr>
      <w:r>
        <w:rPr>
          <w:rFonts w:ascii="Times New Roman" w:cs="Times New Roman" w:eastAsia="Times New Roman" w:hAnsi="Times New Roman"/>
          <w:sz w:val="16"/>
          <w:szCs w:val="16"/>
          <w:color w:val="auto"/>
        </w:rPr>
        <w:t xml:space="preserve">On February 20, 2026, the U.S. Supreme Court ruled that certain tariffs imposed under the International Emergency Economic Powers Act (“IEEPA”) by the executive branch are not lawful. On March 4, 2026, the Court of International Trade (CIT) ordered U.S. Customs and Border Protection (CBP) to begin the refund process for all importers who were subject to IEEPA tariffs. Because of the uncertainty regarding the nature, timing, and extent of potential IEEPA tariff refunds, the Company elected to account for such refunds as gain contingencies, based on the original tariff cost recognition in accordance with ASC 450, </w:t>
      </w:r>
      <w:r>
        <w:rPr>
          <w:rFonts w:ascii="Times New Roman" w:cs="Times New Roman" w:eastAsia="Times New Roman" w:hAnsi="Times New Roman"/>
          <w:sz w:val="16"/>
          <w:szCs w:val="16"/>
          <w:i w:val="1"/>
          <w:iCs w:val="1"/>
          <w:color w:val="auto"/>
        </w:rPr>
        <w:t>Contingencies</w:t>
      </w:r>
      <w:r>
        <w:rPr>
          <w:rFonts w:ascii="Times New Roman" w:cs="Times New Roman" w:eastAsia="Times New Roman" w:hAnsi="Times New Roman"/>
          <w:sz w:val="16"/>
          <w:szCs w:val="16"/>
          <w:color w:val="auto"/>
        </w:rPr>
        <w:t xml:space="preserve"> (“ASC 450”).</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Recent Accounting Pronouncements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Recently Adopted</w:t>
      </w:r>
    </w:p>
    <w:p>
      <w:pPr>
        <w:spacing w:after="0" w:line="242" w:lineRule="exact"/>
        <w:rPr>
          <w:sz w:val="20"/>
          <w:szCs w:val="20"/>
          <w:color w:val="auto"/>
        </w:rPr>
      </w:pPr>
    </w:p>
    <w:p>
      <w:pPr>
        <w:jc w:val="both"/>
        <w:ind w:right="20" w:firstLine="582"/>
        <w:spacing w:after="0" w:line="306" w:lineRule="auto"/>
        <w:rPr>
          <w:sz w:val="20"/>
          <w:szCs w:val="20"/>
          <w:color w:val="auto"/>
        </w:rPr>
      </w:pPr>
      <w:r>
        <w:rPr>
          <w:rFonts w:ascii="Times New Roman" w:cs="Times New Roman" w:eastAsia="Times New Roman" w:hAnsi="Times New Roman"/>
          <w:sz w:val="16"/>
          <w:szCs w:val="16"/>
          <w:color w:val="auto"/>
        </w:rPr>
        <w:t>On July 30, 2025, the FASB issued ASU 2025-05, Financial Instruments—Credit Losses (Topic 326): Measurement of Credit Losses for Accounts Receivable and Contract Assets, which provides a practical expedient that allows public entities to assume that current conditions as of the balance sheet date will not change for the remaining life of the asset. That is, current information may be used without making adjustments for expected future changes to relevant data that may impact collectability of receivables. The Company adopted the practical expedient allowed in ASU 2025-05 as of January 1, 2026, with no material impact on reported financial results.</w:t>
      </w:r>
    </w:p>
    <w:p>
      <w:pPr>
        <w:spacing w:after="0" w:line="177" w:lineRule="exact"/>
        <w:rPr>
          <w:sz w:val="20"/>
          <w:szCs w:val="20"/>
          <w:color w:val="auto"/>
        </w:rPr>
      </w:pPr>
    </w:p>
    <w:p>
      <w:pPr>
        <w:jc w:val="both"/>
        <w:ind w:right="20" w:firstLine="582"/>
        <w:spacing w:after="0" w:line="309" w:lineRule="auto"/>
        <w:rPr>
          <w:sz w:val="20"/>
          <w:szCs w:val="20"/>
          <w:color w:val="auto"/>
        </w:rPr>
      </w:pPr>
      <w:r>
        <w:rPr>
          <w:rFonts w:ascii="Times New Roman" w:cs="Times New Roman" w:eastAsia="Times New Roman" w:hAnsi="Times New Roman"/>
          <w:sz w:val="16"/>
          <w:szCs w:val="16"/>
          <w:color w:val="auto"/>
        </w:rPr>
        <w:t>On November 26, 2024, the FASB issued ASU 2024-04, Induced Conversions of Convertible Debt Instruments, which clarifies the requirements for determining whether certain settlements of convertible debt instruments should be accounted for as an induced conversion. The Company adopted the new guidance on a prospective basis as of January 1, 2026, with no impact on the reported financials, as there were no transactions occurring within the scope of the new guidance.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Recent Accounting Pronouncements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Effective in Future Periods</w:t>
      </w:r>
    </w:p>
    <w:p>
      <w:pPr>
        <w:spacing w:after="0" w:line="242" w:lineRule="exact"/>
        <w:rPr>
          <w:sz w:val="20"/>
          <w:szCs w:val="20"/>
          <w:color w:val="auto"/>
        </w:rPr>
      </w:pPr>
    </w:p>
    <w:p>
      <w:pPr>
        <w:jc w:val="both"/>
        <w:ind w:firstLine="582"/>
        <w:spacing w:after="0" w:line="301" w:lineRule="auto"/>
        <w:rPr>
          <w:sz w:val="20"/>
          <w:szCs w:val="20"/>
          <w:color w:val="auto"/>
        </w:rPr>
      </w:pPr>
      <w:r>
        <w:rPr>
          <w:rFonts w:ascii="Times New Roman" w:cs="Times New Roman" w:eastAsia="Times New Roman" w:hAnsi="Times New Roman"/>
          <w:sz w:val="16"/>
          <w:szCs w:val="16"/>
          <w:color w:val="auto"/>
        </w:rPr>
        <w:t>On November 4, 2024, the FASB issued ASU 2024-03, Disaggregation of income statement expense. ASU 2024-03, as amended by ASU 2025-01, Income Statement – Reporting Comprehensive Income – Expense Disaggregation Disclosures (Subtopic 220-40): Clarifying the Effective Date, requires disaggregated disclosure of income statement expenses for public business entities (“PBEs”). The ASU does not change the expense captions an entity presents on the face of the income statement; rather, it requires disaggregation of certain expense captions into specified categories in disclosures within the footnotes to the financial statements. The amendments in this update are effective for annual reporting periods beginning after December 15, 2026, and interim reporting periods beginning after December 15, 2027. Early adoption is permitted. The Company is currently evaluating the impact of the new guidance.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81280</wp:posOffset>
            </wp:positionV>
            <wp:extent cx="717169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ind w:firstLine="582"/>
        <w:spacing w:after="0" w:line="296" w:lineRule="auto"/>
        <w:rPr>
          <w:sz w:val="20"/>
          <w:szCs w:val="20"/>
          <w:color w:val="auto"/>
        </w:rPr>
      </w:pPr>
      <w:r>
        <w:rPr>
          <w:rFonts w:ascii="Times New Roman" w:cs="Times New Roman" w:eastAsia="Times New Roman" w:hAnsi="Times New Roman"/>
          <w:sz w:val="16"/>
          <w:szCs w:val="16"/>
          <w:color w:val="auto"/>
        </w:rPr>
        <w:t>On September 19, 2025, the FASB issued ASU 2025-06, Intangibles—Goodwill and Other—Internal-Use Software (Subtopic 350-40): Targeted Improvements to the Accounting for Internal-Use Software, which removes all references to software development project stages, and requires entities to start capitalizing software costs when management has authorized and committed to funding the software project and it is probable that the project will be completed and the software will be used to perform its intended function. The new guidance requires entities to consider two factors when determining whether there is significant development uncertainty when considering the probable to complete recognition threshold: (1) Whether the software being developed has technological innovations or novel, unique, or unproven functions or features, and the uncertainty related to those technological innovations, functions, or features, if identified, has not been resolved through coding and testing; and (2) whether the entity has determined what it needs the software to do (for example, functions or features), including whether the entity has identified or continues to substantially revise the software’s significant performance requirements. The new guidance also supersedes the website development costs guidance and incorporates the recognition requirements for website-specific development costs from Subtopic 350-50 into Subtopic 350-40.</w:t>
      </w:r>
    </w:p>
    <w:p>
      <w:pPr>
        <w:spacing w:after="0" w:line="189" w:lineRule="exact"/>
        <w:rPr>
          <w:sz w:val="20"/>
          <w:szCs w:val="20"/>
          <w:color w:val="auto"/>
        </w:rPr>
      </w:pPr>
    </w:p>
    <w:p>
      <w:pPr>
        <w:jc w:val="both"/>
        <w:ind w:right="20" w:firstLine="582"/>
        <w:spacing w:after="0" w:line="309" w:lineRule="auto"/>
        <w:rPr>
          <w:sz w:val="20"/>
          <w:szCs w:val="20"/>
          <w:color w:val="auto"/>
        </w:rPr>
      </w:pPr>
      <w:r>
        <w:rPr>
          <w:rFonts w:ascii="Times New Roman" w:cs="Times New Roman" w:eastAsia="Times New Roman" w:hAnsi="Times New Roman"/>
          <w:sz w:val="16"/>
          <w:szCs w:val="16"/>
          <w:color w:val="auto"/>
        </w:rPr>
        <w:t>ASU 2025-06 will be effective for annual and interim reporting periods beginning after December 15, 2027, and early adoption is permitted as of the beginning of an annual reporting period. The new guidance may be implemented on a prospective basis, a modified transition approach, or a retrospective transition approach. The Company is evaluating the impact of the new guidance.</w:t>
      </w:r>
    </w:p>
    <w:p>
      <w:pPr>
        <w:spacing w:after="0" w:line="187" w:lineRule="exact"/>
        <w:rPr>
          <w:sz w:val="20"/>
          <w:szCs w:val="20"/>
          <w:color w:val="auto"/>
        </w:rPr>
      </w:pPr>
    </w:p>
    <w:p>
      <w:pPr>
        <w:jc w:val="both"/>
        <w:ind w:firstLine="582"/>
        <w:spacing w:after="0" w:line="301" w:lineRule="auto"/>
        <w:rPr>
          <w:sz w:val="20"/>
          <w:szCs w:val="20"/>
          <w:color w:val="auto"/>
        </w:rPr>
      </w:pPr>
      <w:r>
        <w:rPr>
          <w:rFonts w:ascii="Times New Roman" w:cs="Times New Roman" w:eastAsia="Times New Roman" w:hAnsi="Times New Roman"/>
          <w:sz w:val="16"/>
          <w:szCs w:val="16"/>
          <w:color w:val="auto"/>
        </w:rPr>
        <w:t>On May 19, 2026, the FASB issued Accounting Standards Update 2026-02—Environmental Credits and Environmental Credit Obligations (Topic 818), which provides guidance on the recognition and measurement of environmental credits. Under the new ASU, an entity is required to recognize an environmental credit as an asset when it is probable that the environmental credit will be used to settle an environmental credit obligation, transferred in an exchange transaction, or used in a nonreciprocal transfer. In other circumstances (for example, environmental credits acquired to satisfy a voluntary net zero emission initiative), the cost to obtain the environmental credit is expensed when incurred. Entities will also be required to recognize an environmental credit obligation liability when events occurring on or before the reporting date result in an environmental credit obligation (for example, when emissions are created).</w:t>
      </w:r>
    </w:p>
    <w:p>
      <w:pPr>
        <w:spacing w:after="0" w:line="180" w:lineRule="exact"/>
        <w:rPr>
          <w:sz w:val="20"/>
          <w:szCs w:val="20"/>
          <w:color w:val="auto"/>
        </w:rPr>
      </w:pPr>
    </w:p>
    <w:p>
      <w:pPr>
        <w:jc w:val="both"/>
        <w:ind w:right="20" w:firstLine="582"/>
        <w:spacing w:after="0" w:line="306" w:lineRule="auto"/>
        <w:rPr>
          <w:sz w:val="20"/>
          <w:szCs w:val="20"/>
          <w:color w:val="auto"/>
        </w:rPr>
      </w:pPr>
      <w:r>
        <w:rPr>
          <w:rFonts w:ascii="Times New Roman" w:cs="Times New Roman" w:eastAsia="Times New Roman" w:hAnsi="Times New Roman"/>
          <w:sz w:val="16"/>
          <w:szCs w:val="16"/>
          <w:color w:val="auto"/>
        </w:rPr>
        <w:t>The guidance in this Update is effective for annual reporting periods beginning after December 15, 2028, and interim reporting periods within those annual reporting periods with early adoption permitted as of the beginning of an annual reporting period. The guidance shall be applied on a retrospective basis through a cumulative-effect adjustment to the opening balance of retained earnings as of the beginning of the annual reporting period of adoption. However, prior period financial statements shall not be recast. The Company is currently evaluating the impact of the new guidance.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Revision of Previously Issued Financial Statements</w:t>
      </w:r>
    </w:p>
    <w:p>
      <w:pPr>
        <w:spacing w:after="0" w:line="231" w:lineRule="exact"/>
        <w:rPr>
          <w:sz w:val="20"/>
          <w:szCs w:val="20"/>
          <w:color w:val="auto"/>
        </w:rPr>
      </w:pPr>
    </w:p>
    <w:p>
      <w:pPr>
        <w:jc w:val="both"/>
        <w:ind w:right="20" w:firstLine="582"/>
        <w:spacing w:after="0" w:line="229" w:lineRule="exact"/>
        <w:rPr>
          <w:sz w:val="20"/>
          <w:szCs w:val="20"/>
          <w:color w:val="auto"/>
        </w:rPr>
      </w:pPr>
      <w:r>
        <w:rPr>
          <w:rFonts w:ascii="Times New Roman" w:cs="Times New Roman" w:eastAsia="Times New Roman" w:hAnsi="Times New Roman"/>
          <w:sz w:val="16"/>
          <w:szCs w:val="16"/>
          <w:color w:val="auto"/>
        </w:rPr>
        <w:t>As disclosed in Note 18 to the Consolidated Financial Statements included in the Company’s Annual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for the year ended December 31, 2025, the Company identified an immaterial error related to intercompany activity impacting accounts receivable. The Company determined that the impacts of the error were not material, individually or in the aggregate, to its previously issued Consolidated Financial Statements and accompanying Notes to the Consolidated Financial Statements for any of the prior quarters or the annual period in which they occurred. However, in accordance with Staff Accounting Bulletin No. 108 of the Securities and Exchange Commission, the Company concluded that correcting the cumulative error in the period during which the error was identified would be material to its results of operations for the fiscal year ended December 31, 2025. As a result, the opening retained earnings as presented in the Form 10-K was adjusted by $42.1 million.</w:t>
      </w:r>
    </w:p>
    <w:p>
      <w:pPr>
        <w:spacing w:after="0" w:line="230" w:lineRule="exact"/>
        <w:rPr>
          <w:sz w:val="20"/>
          <w:szCs w:val="20"/>
          <w:color w:val="auto"/>
        </w:rPr>
      </w:pPr>
    </w:p>
    <w:p>
      <w:pPr>
        <w:jc w:val="both"/>
        <w:ind w:right="20" w:firstLine="582"/>
        <w:spacing w:after="0" w:line="220" w:lineRule="exact"/>
        <w:rPr>
          <w:sz w:val="20"/>
          <w:szCs w:val="20"/>
          <w:color w:val="auto"/>
        </w:rPr>
      </w:pPr>
      <w:r>
        <w:rPr>
          <w:rFonts w:ascii="Times New Roman" w:cs="Times New Roman" w:eastAsia="Times New Roman" w:hAnsi="Times New Roman"/>
          <w:sz w:val="16"/>
          <w:szCs w:val="16"/>
          <w:color w:val="auto"/>
        </w:rPr>
        <w:t>The identified error does not impact the consolidated statements of operations or cash flows for any of the periods presented in this filing. Additional detail regarding the nature of the revision is included in Note 18 to the Consolidated Financial Statements included in the Company’s Annual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73660</wp:posOffset>
            </wp:positionV>
            <wp:extent cx="717169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Revenue from Contracts with Customers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Contract Liabilities</w:t>
      </w:r>
    </w:p>
    <w:p>
      <w:pPr>
        <w:spacing w:after="0" w:line="267" w:lineRule="exact"/>
        <w:rPr>
          <w:sz w:val="20"/>
          <w:szCs w:val="20"/>
          <w:color w:val="auto"/>
        </w:rPr>
      </w:pPr>
    </w:p>
    <w:p>
      <w:pPr>
        <w:jc w:val="both"/>
        <w:ind w:right="20" w:firstLine="582"/>
        <w:spacing w:after="0" w:line="301" w:lineRule="auto"/>
        <w:rPr>
          <w:sz w:val="20"/>
          <w:szCs w:val="20"/>
          <w:color w:val="auto"/>
        </w:rPr>
      </w:pPr>
      <w:r>
        <w:rPr>
          <w:rFonts w:ascii="Times New Roman" w:cs="Times New Roman" w:eastAsia="Times New Roman" w:hAnsi="Times New Roman"/>
          <w:sz w:val="16"/>
          <w:szCs w:val="16"/>
          <w:color w:val="auto"/>
        </w:rPr>
        <w:t>The Company records contract liabilities when it receives payment prior to fulfilling a performance obligation. Contract liabilities related to revenues are recorded in accounts payable and accrued expenses on the accompanying Condensed Consolidated Balance Sheets. The revenues related to these performance obligations are expected to be recognized within a twelve-month period. The Company had contract liabilities of $74.7 million and $74.3 million as of October 3, 2026, and December 31, 2025,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Performance Obligations</w:t>
      </w:r>
    </w:p>
    <w:p>
      <w:pPr>
        <w:spacing w:after="0" w:line="255" w:lineRule="exact"/>
        <w:rPr>
          <w:sz w:val="20"/>
          <w:szCs w:val="20"/>
          <w:color w:val="auto"/>
        </w:rPr>
      </w:pPr>
    </w:p>
    <w:p>
      <w:pPr>
        <w:jc w:val="both"/>
        <w:ind w:right="20" w:firstLine="582"/>
        <w:spacing w:after="0" w:line="314" w:lineRule="auto"/>
        <w:rPr>
          <w:sz w:val="20"/>
          <w:szCs w:val="20"/>
          <w:color w:val="auto"/>
        </w:rPr>
      </w:pPr>
      <w:r>
        <w:rPr>
          <w:rFonts w:ascii="Times New Roman" w:cs="Times New Roman" w:eastAsia="Times New Roman" w:hAnsi="Times New Roman"/>
          <w:sz w:val="16"/>
          <w:szCs w:val="16"/>
          <w:color w:val="auto"/>
        </w:rPr>
        <w:t>Substantially all of the Company’s revenue is recognized at a point in time when the product is either shipped or received from the Company’s facilities and control of the product is transferred to the customer. Accordingly, the Company does not recognize a significant amount of revenue from performance obligations satisfied, or partially satisfied, in prior periods, and the amount of such revenue recognized during the three and nine months ended October 3, 2026, and September 27, 2025, was immaterial.</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Costs to Obtain a Contract</w:t>
      </w:r>
    </w:p>
    <w:p>
      <w:pPr>
        <w:spacing w:after="0" w:line="267" w:lineRule="exact"/>
        <w:rPr>
          <w:sz w:val="20"/>
          <w:szCs w:val="20"/>
          <w:color w:val="auto"/>
        </w:rPr>
      </w:pPr>
    </w:p>
    <w:p>
      <w:pPr>
        <w:jc w:val="both"/>
        <w:ind w:firstLine="582"/>
        <w:spacing w:after="0" w:line="306" w:lineRule="auto"/>
        <w:rPr>
          <w:sz w:val="20"/>
          <w:szCs w:val="20"/>
          <w:color w:val="auto"/>
        </w:rPr>
      </w:pPr>
      <w:r>
        <w:rPr>
          <w:rFonts w:ascii="Times New Roman" w:cs="Times New Roman" w:eastAsia="Times New Roman" w:hAnsi="Times New Roman"/>
          <w:sz w:val="16"/>
          <w:szCs w:val="16"/>
          <w:color w:val="auto"/>
        </w:rPr>
        <w:t>The Company incurs certain incremental costs to obtain revenue contracts. These costs relate to marketing display structures and are capitalized when the amortization period is greater than one year, with the amount recorded in other assets on the accompanying Condensed Consolidated Balance Sheets. Capitalized costs to obtain contracts were $73.1 million and $58.8 million as of October 3, 2026, and December 31, 2025, respectively. Straight-line amortization expense recognized during the nine months ended October 3, 2026, and September 27, 2025, related to these capitalized costs was $31.2 million and $32.9 million,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 Disaggregation</w:t>
      </w:r>
    </w:p>
    <w:p>
      <w:pPr>
        <w:spacing w:after="0" w:line="267" w:lineRule="exact"/>
        <w:rPr>
          <w:sz w:val="20"/>
          <w:szCs w:val="20"/>
          <w:color w:val="auto"/>
        </w:rPr>
      </w:pPr>
    </w:p>
    <w:p>
      <w:pPr>
        <w:jc w:val="both"/>
        <w:ind w:right="20" w:firstLine="582"/>
        <w:spacing w:after="0" w:line="285" w:lineRule="auto"/>
        <w:rPr>
          <w:sz w:val="20"/>
          <w:szCs w:val="20"/>
          <w:color w:val="auto"/>
        </w:rPr>
      </w:pPr>
      <w:r>
        <w:rPr>
          <w:rFonts w:ascii="Times New Roman" w:cs="Times New Roman" w:eastAsia="Times New Roman" w:hAnsi="Times New Roman"/>
          <w:sz w:val="16"/>
          <w:szCs w:val="16"/>
          <w:color w:val="auto"/>
        </w:rPr>
        <w:t>The Company has three reporting segments: Global Ceramic, Flooring North America (“Flooring NA”) and Flooring Rest of the World (“Flooring ROW”). The following table presents the Company’s segment revenues disaggregated by the geographical market location of customer sales and product categories for the three months ended October 3, 2026, and September 27,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millions)</w:t>
            </w:r>
          </w:p>
        </w:tc>
        <w:tc>
          <w:tcPr>
            <w:tcW w:w="2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2"/>
        </w:trPr>
        <w:tc>
          <w:tcPr>
            <w:tcW w:w="3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October 3, 2026</w:t>
            </w:r>
          </w:p>
        </w:tc>
        <w:tc>
          <w:tcPr>
            <w:tcW w:w="2480" w:type="dxa"/>
            <w:vAlign w:val="bottom"/>
          </w:tcPr>
          <w:p>
            <w:pPr>
              <w:spacing w:after="0"/>
              <w:rPr>
                <w:sz w:val="15"/>
                <w:szCs w:val="15"/>
                <w:color w:val="auto"/>
              </w:rPr>
            </w:pPr>
          </w:p>
        </w:tc>
        <w:tc>
          <w:tcPr>
            <w:tcW w:w="1380" w:type="dxa"/>
            <w:vAlign w:val="bottom"/>
          </w:tcPr>
          <w:p>
            <w:pPr>
              <w:jc w:val="right"/>
              <w:ind w:right="261"/>
              <w:spacing w:after="0"/>
              <w:rPr>
                <w:sz w:val="20"/>
                <w:szCs w:val="20"/>
                <w:color w:val="auto"/>
              </w:rPr>
            </w:pPr>
            <w:r>
              <w:rPr>
                <w:rFonts w:ascii="Times New Roman" w:cs="Times New Roman" w:eastAsia="Times New Roman" w:hAnsi="Times New Roman"/>
                <w:sz w:val="13"/>
                <w:szCs w:val="13"/>
                <w:color w:val="auto"/>
              </w:rPr>
              <w:t>Global Ceramic</w:t>
            </w:r>
          </w:p>
        </w:tc>
        <w:tc>
          <w:tcPr>
            <w:tcW w:w="1320" w:type="dxa"/>
            <w:vAlign w:val="bottom"/>
          </w:tcPr>
          <w:p>
            <w:pPr>
              <w:jc w:val="right"/>
              <w:ind w:right="221"/>
              <w:spacing w:after="0"/>
              <w:rPr>
                <w:sz w:val="20"/>
                <w:szCs w:val="20"/>
                <w:color w:val="auto"/>
              </w:rPr>
            </w:pPr>
            <w:r>
              <w:rPr>
                <w:rFonts w:ascii="Times New Roman" w:cs="Times New Roman" w:eastAsia="Times New Roman" w:hAnsi="Times New Roman"/>
                <w:sz w:val="13"/>
                <w:szCs w:val="13"/>
                <w:color w:val="auto"/>
              </w:rPr>
              <w:t>Flooring NA</w:t>
            </w:r>
          </w:p>
        </w:tc>
        <w:tc>
          <w:tcPr>
            <w:tcW w:w="1500" w:type="dxa"/>
            <w:vAlign w:val="bottom"/>
          </w:tcPr>
          <w:p>
            <w:pPr>
              <w:jc w:val="right"/>
              <w:ind w:right="341"/>
              <w:spacing w:after="0"/>
              <w:rPr>
                <w:sz w:val="20"/>
                <w:szCs w:val="20"/>
                <w:color w:val="auto"/>
              </w:rPr>
            </w:pPr>
            <w:r>
              <w:rPr>
                <w:rFonts w:ascii="Times New Roman" w:cs="Times New Roman" w:eastAsia="Times New Roman" w:hAnsi="Times New Roman"/>
                <w:sz w:val="13"/>
                <w:szCs w:val="13"/>
                <w:color w:val="auto"/>
              </w:rPr>
              <w:t>Flooring ROW</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Total</w:t>
            </w:r>
          </w:p>
        </w:tc>
      </w:tr>
      <w:tr>
        <w:trPr>
          <w:trHeight w:val="23"/>
        </w:trPr>
        <w:tc>
          <w:tcPr>
            <w:tcW w:w="36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Geographical Markets:</w:t>
            </w:r>
          </w:p>
        </w:tc>
        <w:tc>
          <w:tcPr>
            <w:tcW w:w="24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6"/>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4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600.7</w:t>
            </w:r>
          </w:p>
        </w:tc>
        <w:tc>
          <w:tcPr>
            <w:tcW w:w="132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923.5</w:t>
            </w:r>
          </w:p>
        </w:tc>
        <w:tc>
          <w:tcPr>
            <w:tcW w:w="150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4.2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1,528.4</w:t>
            </w:r>
          </w:p>
        </w:tc>
      </w:tr>
      <w:tr>
        <w:trPr>
          <w:trHeight w:val="20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24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297.6</w:t>
            </w:r>
          </w:p>
        </w:tc>
        <w:tc>
          <w:tcPr>
            <w:tcW w:w="13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0.7</w:t>
            </w:r>
          </w:p>
        </w:tc>
        <w:tc>
          <w:tcPr>
            <w:tcW w:w="150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530.8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829.1</w:t>
            </w:r>
          </w:p>
        </w:tc>
      </w:tr>
      <w:tr>
        <w:trPr>
          <w:trHeight w:val="206"/>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Latin America</w:t>
            </w:r>
          </w:p>
        </w:tc>
        <w:tc>
          <w:tcPr>
            <w:tcW w:w="2480" w:type="dxa"/>
            <w:vAlign w:val="bottom"/>
          </w:tcPr>
          <w:p>
            <w:pPr>
              <w:spacing w:after="0"/>
              <w:rPr>
                <w:sz w:val="17"/>
                <w:szCs w:val="17"/>
                <w:color w:val="auto"/>
              </w:rPr>
            </w:pPr>
          </w:p>
        </w:tc>
        <w:tc>
          <w:tcPr>
            <w:tcW w:w="138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185.1</w:t>
            </w:r>
          </w:p>
        </w:tc>
        <w:tc>
          <w:tcPr>
            <w:tcW w:w="132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1.5</w:t>
            </w:r>
          </w:p>
        </w:tc>
        <w:tc>
          <w:tcPr>
            <w:tcW w:w="150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14.7</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206"/>
        </w:trPr>
        <w:tc>
          <w:tcPr>
            <w:tcW w:w="3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45.2</w:t>
            </w:r>
          </w:p>
        </w:tc>
        <w:tc>
          <w:tcPr>
            <w:tcW w:w="132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24.2</w:t>
            </w:r>
          </w:p>
        </w:tc>
        <w:tc>
          <w:tcPr>
            <w:tcW w:w="150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157.8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227.2</w:t>
            </w:r>
          </w:p>
        </w:tc>
      </w:tr>
      <w:tr>
        <w:trPr>
          <w:trHeight w:val="203"/>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1,128.6</w:t>
            </w:r>
          </w:p>
        </w:tc>
        <w:tc>
          <w:tcPr>
            <w:tcW w:w="13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949.9</w:t>
            </w:r>
          </w:p>
        </w:tc>
        <w:tc>
          <w:tcPr>
            <w:tcW w:w="15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707.5</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2,786.0</w:t>
            </w:r>
          </w:p>
        </w:tc>
      </w:tr>
      <w:tr>
        <w:trPr>
          <w:trHeight w:val="230"/>
        </w:trPr>
        <w:tc>
          <w:tcPr>
            <w:tcW w:w="360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194"/>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Product Categories:</w:t>
            </w:r>
          </w:p>
        </w:tc>
        <w:tc>
          <w:tcPr>
            <w:tcW w:w="2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Ceramic &amp; Stone</w:t>
            </w:r>
          </w:p>
        </w:tc>
        <w:tc>
          <w:tcPr>
            <w:tcW w:w="24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1,109.6</w:t>
            </w:r>
          </w:p>
        </w:tc>
        <w:tc>
          <w:tcPr>
            <w:tcW w:w="13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1,109.6</w:t>
            </w:r>
          </w:p>
        </w:tc>
      </w:tr>
      <w:tr>
        <w:trPr>
          <w:trHeight w:val="206"/>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Carpet &amp; Resilient</w:t>
            </w:r>
          </w:p>
        </w:tc>
        <w:tc>
          <w:tcPr>
            <w:tcW w:w="2480" w:type="dxa"/>
            <w:vAlign w:val="bottom"/>
          </w:tcPr>
          <w:p>
            <w:pPr>
              <w:spacing w:after="0"/>
              <w:rPr>
                <w:sz w:val="17"/>
                <w:szCs w:val="17"/>
                <w:color w:val="auto"/>
              </w:rPr>
            </w:pPr>
          </w:p>
        </w:tc>
        <w:tc>
          <w:tcPr>
            <w:tcW w:w="138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19.0</w:t>
            </w:r>
          </w:p>
        </w:tc>
        <w:tc>
          <w:tcPr>
            <w:tcW w:w="132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737.5</w:t>
            </w:r>
          </w:p>
        </w:tc>
        <w:tc>
          <w:tcPr>
            <w:tcW w:w="150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958.7</w:t>
            </w:r>
          </w:p>
        </w:tc>
      </w:tr>
      <w:tr>
        <w:trPr>
          <w:trHeight w:val="20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Laminate &amp; Wood</w:t>
            </w:r>
          </w:p>
        </w:tc>
        <w:tc>
          <w:tcPr>
            <w:tcW w:w="24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212.4</w:t>
            </w:r>
          </w:p>
        </w:tc>
        <w:tc>
          <w:tcPr>
            <w:tcW w:w="150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229.3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441.7</w:t>
            </w:r>
          </w:p>
        </w:tc>
      </w:tr>
      <w:tr>
        <w:trPr>
          <w:trHeight w:val="206"/>
        </w:trPr>
        <w:tc>
          <w:tcPr>
            <w:tcW w:w="3600" w:type="dxa"/>
            <w:vAlign w:val="bottom"/>
            <w:tcBorders>
              <w:bottom w:val="single" w:sz="8" w:color="auto"/>
            </w:tcBorders>
          </w:tcPr>
          <w:p>
            <w:pPr>
              <w:ind w:left="20"/>
              <w:spacing w:after="0" w:line="20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24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276.0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276.0</w:t>
            </w:r>
          </w:p>
        </w:tc>
      </w:tr>
      <w:tr>
        <w:trPr>
          <w:trHeight w:val="203"/>
        </w:trPr>
        <w:tc>
          <w:tcPr>
            <w:tcW w:w="3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1,128.6</w:t>
            </w:r>
          </w:p>
        </w:tc>
        <w:tc>
          <w:tcPr>
            <w:tcW w:w="132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949.9</w:t>
            </w:r>
          </w:p>
        </w:tc>
        <w:tc>
          <w:tcPr>
            <w:tcW w:w="150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707.5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2,786.0</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81280</wp:posOffset>
            </wp:positionV>
            <wp:extent cx="717169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11" w:name="page12"/>
    <w:bookmarkEnd w:id="11"/>
    <w:p>
      <w:pPr>
        <w:ind w:left="3"/>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tbl>
      <w:tblPr>
        <w:tblLayout w:type="fixed"/>
        <w:tblInd w:w="3" w:type="dxa"/>
        <w:tblCellMar>
          <w:top w:w="0" w:type="dxa"/>
          <w:left w:w="0" w:type="dxa"/>
          <w:bottom w:w="0" w:type="dxa"/>
          <w:right w:w="0" w:type="dxa"/>
        </w:tblCellMar>
      </w:tblPr>
      <w:tr>
        <w:trPr>
          <w:trHeight w:val="167"/>
        </w:trPr>
        <w:tc>
          <w:tcPr>
            <w:tcW w:w="3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September 27, 2025</w:t>
            </w:r>
          </w:p>
        </w:tc>
        <w:tc>
          <w:tcPr>
            <w:tcW w:w="2480" w:type="dxa"/>
            <w:vAlign w:val="bottom"/>
          </w:tcPr>
          <w:p>
            <w:pPr>
              <w:spacing w:after="0"/>
              <w:rPr>
                <w:sz w:val="14"/>
                <w:szCs w:val="14"/>
                <w:color w:val="auto"/>
              </w:rPr>
            </w:pPr>
          </w:p>
        </w:tc>
        <w:tc>
          <w:tcPr>
            <w:tcW w:w="1380" w:type="dxa"/>
            <w:vAlign w:val="bottom"/>
          </w:tcPr>
          <w:p>
            <w:pPr>
              <w:jc w:val="right"/>
              <w:ind w:right="261"/>
              <w:spacing w:after="0"/>
              <w:rPr>
                <w:sz w:val="20"/>
                <w:szCs w:val="20"/>
                <w:color w:val="auto"/>
              </w:rPr>
            </w:pPr>
            <w:r>
              <w:rPr>
                <w:rFonts w:ascii="Times New Roman" w:cs="Times New Roman" w:eastAsia="Times New Roman" w:hAnsi="Times New Roman"/>
                <w:sz w:val="13"/>
                <w:szCs w:val="13"/>
                <w:color w:val="auto"/>
              </w:rPr>
              <w:t>Global Ceramic</w:t>
            </w:r>
          </w:p>
        </w:tc>
        <w:tc>
          <w:tcPr>
            <w:tcW w:w="1320" w:type="dxa"/>
            <w:vAlign w:val="bottom"/>
          </w:tcPr>
          <w:p>
            <w:pPr>
              <w:jc w:val="right"/>
              <w:ind w:right="221"/>
              <w:spacing w:after="0"/>
              <w:rPr>
                <w:sz w:val="20"/>
                <w:szCs w:val="20"/>
                <w:color w:val="auto"/>
              </w:rPr>
            </w:pPr>
            <w:r>
              <w:rPr>
                <w:rFonts w:ascii="Times New Roman" w:cs="Times New Roman" w:eastAsia="Times New Roman" w:hAnsi="Times New Roman"/>
                <w:sz w:val="13"/>
                <w:szCs w:val="13"/>
                <w:color w:val="auto"/>
              </w:rPr>
              <w:t>Flooring NA</w:t>
            </w:r>
          </w:p>
        </w:tc>
        <w:tc>
          <w:tcPr>
            <w:tcW w:w="1500" w:type="dxa"/>
            <w:vAlign w:val="bottom"/>
          </w:tcPr>
          <w:p>
            <w:pPr>
              <w:jc w:val="right"/>
              <w:ind w:right="341"/>
              <w:spacing w:after="0"/>
              <w:rPr>
                <w:sz w:val="20"/>
                <w:szCs w:val="20"/>
                <w:color w:val="auto"/>
              </w:rPr>
            </w:pPr>
            <w:r>
              <w:rPr>
                <w:rFonts w:ascii="Times New Roman" w:cs="Times New Roman" w:eastAsia="Times New Roman" w:hAnsi="Times New Roman"/>
                <w:sz w:val="13"/>
                <w:szCs w:val="13"/>
                <w:color w:val="auto"/>
              </w:rPr>
              <w:t>Flooring ROW</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Total</w:t>
            </w:r>
          </w:p>
        </w:tc>
      </w:tr>
      <w:tr>
        <w:trPr>
          <w:trHeight w:val="23"/>
        </w:trPr>
        <w:tc>
          <w:tcPr>
            <w:tcW w:w="36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Geographical Markets:</w:t>
            </w:r>
          </w:p>
        </w:tc>
        <w:tc>
          <w:tcPr>
            <w:tcW w:w="24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6"/>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4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573.2</w:t>
            </w:r>
          </w:p>
        </w:tc>
        <w:tc>
          <w:tcPr>
            <w:tcW w:w="132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915.2</w:t>
            </w:r>
          </w:p>
        </w:tc>
        <w:tc>
          <w:tcPr>
            <w:tcW w:w="150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rPr>
              <w:t>3.3</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1,491.7</w:t>
            </w:r>
          </w:p>
        </w:tc>
      </w:tr>
      <w:tr>
        <w:trPr>
          <w:trHeight w:val="20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24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rPr>
              <w:t>305.3</w:t>
            </w:r>
          </w:p>
        </w:tc>
        <w:tc>
          <w:tcPr>
            <w:tcW w:w="13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rPr>
              <w:t>0.5</w:t>
            </w:r>
          </w:p>
        </w:tc>
        <w:tc>
          <w:tcPr>
            <w:tcW w:w="150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rPr>
              <w:t>547.4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853.2</w:t>
            </w:r>
          </w:p>
        </w:tc>
      </w:tr>
      <w:tr>
        <w:trPr>
          <w:trHeight w:val="206"/>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Latin America</w:t>
            </w:r>
          </w:p>
        </w:tc>
        <w:tc>
          <w:tcPr>
            <w:tcW w:w="2480" w:type="dxa"/>
            <w:vAlign w:val="bottom"/>
          </w:tcPr>
          <w:p>
            <w:pPr>
              <w:spacing w:after="0"/>
              <w:rPr>
                <w:sz w:val="17"/>
                <w:szCs w:val="17"/>
                <w:color w:val="auto"/>
              </w:rPr>
            </w:pPr>
          </w:p>
        </w:tc>
        <w:tc>
          <w:tcPr>
            <w:tcW w:w="13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181.3</w:t>
            </w:r>
          </w:p>
        </w:tc>
        <w:tc>
          <w:tcPr>
            <w:tcW w:w="132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2.0</w:t>
            </w:r>
          </w:p>
        </w:tc>
        <w:tc>
          <w:tcPr>
            <w:tcW w:w="150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rPr>
              <w:t>8.1</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w:t>
            </w:r>
          </w:p>
        </w:tc>
      </w:tr>
      <w:tr>
        <w:trPr>
          <w:trHeight w:val="206"/>
        </w:trPr>
        <w:tc>
          <w:tcPr>
            <w:tcW w:w="3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rPr>
              <w:t>44.9</w:t>
            </w:r>
          </w:p>
        </w:tc>
        <w:tc>
          <w:tcPr>
            <w:tcW w:w="132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rPr>
              <w:t>19.1</w:t>
            </w:r>
          </w:p>
        </w:tc>
        <w:tc>
          <w:tcPr>
            <w:tcW w:w="150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rPr>
              <w:t>157.6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w:t>
            </w:r>
          </w:p>
        </w:tc>
      </w:tr>
      <w:tr>
        <w:trPr>
          <w:trHeight w:val="203"/>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1,104.7</w:t>
            </w:r>
          </w:p>
        </w:tc>
        <w:tc>
          <w:tcPr>
            <w:tcW w:w="13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936.8</w:t>
            </w:r>
          </w:p>
        </w:tc>
        <w:tc>
          <w:tcPr>
            <w:tcW w:w="15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716.4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2,757.9</w:t>
            </w:r>
          </w:p>
        </w:tc>
      </w:tr>
      <w:tr>
        <w:trPr>
          <w:trHeight w:val="230"/>
        </w:trPr>
        <w:tc>
          <w:tcPr>
            <w:tcW w:w="360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194"/>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Product Categories:</w:t>
            </w:r>
          </w:p>
        </w:tc>
        <w:tc>
          <w:tcPr>
            <w:tcW w:w="2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Ceramic &amp; Stone</w:t>
            </w:r>
          </w:p>
        </w:tc>
        <w:tc>
          <w:tcPr>
            <w:tcW w:w="24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rPr>
              <w:t>1,085.9</w:t>
            </w:r>
          </w:p>
        </w:tc>
        <w:tc>
          <w:tcPr>
            <w:tcW w:w="13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1,085.9</w:t>
            </w:r>
          </w:p>
        </w:tc>
      </w:tr>
      <w:tr>
        <w:trPr>
          <w:trHeight w:val="206"/>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Carpet &amp; Resilient</w:t>
            </w:r>
          </w:p>
        </w:tc>
        <w:tc>
          <w:tcPr>
            <w:tcW w:w="2480" w:type="dxa"/>
            <w:vAlign w:val="bottom"/>
          </w:tcPr>
          <w:p>
            <w:pPr>
              <w:spacing w:after="0"/>
              <w:rPr>
                <w:sz w:val="17"/>
                <w:szCs w:val="17"/>
                <w:color w:val="auto"/>
              </w:rPr>
            </w:pPr>
          </w:p>
        </w:tc>
        <w:tc>
          <w:tcPr>
            <w:tcW w:w="13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18.8</w:t>
            </w:r>
          </w:p>
        </w:tc>
        <w:tc>
          <w:tcPr>
            <w:tcW w:w="132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729.1</w:t>
            </w:r>
          </w:p>
        </w:tc>
        <w:tc>
          <w:tcPr>
            <w:tcW w:w="150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rPr>
              <w:t>210.1</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958.0</w:t>
            </w:r>
          </w:p>
        </w:tc>
      </w:tr>
      <w:tr>
        <w:trPr>
          <w:trHeight w:val="20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Laminate &amp; Wood</w:t>
            </w:r>
          </w:p>
        </w:tc>
        <w:tc>
          <w:tcPr>
            <w:tcW w:w="24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rPr>
              <w:t>207.7</w:t>
            </w:r>
          </w:p>
        </w:tc>
        <w:tc>
          <w:tcPr>
            <w:tcW w:w="150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rPr>
              <w:t>240.9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w:t>
            </w:r>
          </w:p>
        </w:tc>
      </w:tr>
      <w:tr>
        <w:trPr>
          <w:trHeight w:val="206"/>
        </w:trPr>
        <w:tc>
          <w:tcPr>
            <w:tcW w:w="3600" w:type="dxa"/>
            <w:vAlign w:val="bottom"/>
            <w:tcBorders>
              <w:bottom w:val="single" w:sz="8" w:color="auto"/>
            </w:tcBorders>
          </w:tcPr>
          <w:p>
            <w:pPr>
              <w:ind w:left="20"/>
              <w:spacing w:after="0" w:line="20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24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265.4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265.4</w:t>
            </w:r>
          </w:p>
        </w:tc>
      </w:tr>
      <w:tr>
        <w:trPr>
          <w:trHeight w:val="203"/>
        </w:trPr>
        <w:tc>
          <w:tcPr>
            <w:tcW w:w="3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rPr>
              <w:t>1,104.7</w:t>
            </w:r>
          </w:p>
        </w:tc>
        <w:tc>
          <w:tcPr>
            <w:tcW w:w="132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rPr>
              <w:t>936.8</w:t>
            </w:r>
          </w:p>
        </w:tc>
        <w:tc>
          <w:tcPr>
            <w:tcW w:w="150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rPr>
              <w:t>716.4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2,757.9</w:t>
            </w:r>
          </w:p>
        </w:tc>
      </w:tr>
    </w:tbl>
    <w:p>
      <w:pPr>
        <w:spacing w:after="0" w:line="113" w:lineRule="exact"/>
        <w:rPr>
          <w:sz w:val="20"/>
          <w:szCs w:val="20"/>
          <w:color w:val="auto"/>
        </w:rPr>
      </w:pPr>
    </w:p>
    <w:p>
      <w:pPr>
        <w:ind w:left="123" w:hanging="123"/>
        <w:spacing w:after="0"/>
        <w:tabs>
          <w:tab w:leader="none" w:pos="123" w:val="left"/>
        </w:tabs>
        <w:numPr>
          <w:ilvl w:val="0"/>
          <w:numId w:val="3"/>
        </w:numPr>
        <w:rPr>
          <w:rFonts w:ascii="Times New Roman" w:cs="Times New Roman" w:eastAsia="Times New Roman" w:hAnsi="Times New Roman"/>
          <w:sz w:val="8"/>
          <w:szCs w:val="8"/>
          <w:color w:val="auto"/>
        </w:rPr>
      </w:pPr>
      <w:r>
        <w:rPr>
          <w:rFonts w:ascii="Times New Roman" w:cs="Times New Roman" w:eastAsia="Times New Roman" w:hAnsi="Times New Roman"/>
          <w:sz w:val="13"/>
          <w:szCs w:val="13"/>
          <w:color w:val="auto"/>
        </w:rPr>
        <w:t>Other includes roofing elements, insulation boards, chipboards and IP contracts.</w:t>
      </w:r>
    </w:p>
    <w:p>
      <w:pPr>
        <w:spacing w:after="0" w:line="303" w:lineRule="exact"/>
        <w:rPr>
          <w:sz w:val="20"/>
          <w:szCs w:val="20"/>
          <w:color w:val="auto"/>
        </w:rPr>
      </w:pPr>
    </w:p>
    <w:p>
      <w:pPr>
        <w:ind w:left="3" w:right="20" w:firstLine="582"/>
        <w:spacing w:after="0" w:line="302" w:lineRule="auto"/>
        <w:rPr>
          <w:sz w:val="20"/>
          <w:szCs w:val="20"/>
          <w:color w:val="auto"/>
        </w:rPr>
      </w:pPr>
      <w:r>
        <w:rPr>
          <w:rFonts w:ascii="Times New Roman" w:cs="Times New Roman" w:eastAsia="Times New Roman" w:hAnsi="Times New Roman"/>
          <w:sz w:val="16"/>
          <w:szCs w:val="16"/>
          <w:color w:val="auto"/>
        </w:rPr>
        <w:t>The following table presents the Company's segment revenues disaggregated by the geographical market location of customer sales and product categories for the nine months ended October 3, 2026, and September 27, 2025:</w:t>
      </w:r>
    </w:p>
    <w:p>
      <w:pPr>
        <w:spacing w:after="0" w:line="31" w:lineRule="exact"/>
        <w:rPr>
          <w:sz w:val="20"/>
          <w:szCs w:val="20"/>
          <w:color w:val="auto"/>
        </w:rPr>
      </w:pPr>
    </w:p>
    <w:tbl>
      <w:tblPr>
        <w:tblLayout w:type="fixed"/>
        <w:tblInd w:w="3" w:type="dxa"/>
        <w:tblCellMar>
          <w:top w:w="0" w:type="dxa"/>
          <w:left w:w="0" w:type="dxa"/>
          <w:bottom w:w="0" w:type="dxa"/>
          <w:right w:w="0" w:type="dxa"/>
        </w:tblCellMar>
      </w:tblPr>
      <w:tr>
        <w:trPr>
          <w:trHeight w:val="167"/>
        </w:trPr>
        <w:tc>
          <w:tcPr>
            <w:tcW w:w="3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millions)</w:t>
            </w:r>
          </w:p>
        </w:tc>
        <w:tc>
          <w:tcPr>
            <w:tcW w:w="2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2"/>
        </w:trPr>
        <w:tc>
          <w:tcPr>
            <w:tcW w:w="3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October 3, 2026</w:t>
            </w:r>
          </w:p>
        </w:tc>
        <w:tc>
          <w:tcPr>
            <w:tcW w:w="2400" w:type="dxa"/>
            <w:vAlign w:val="bottom"/>
          </w:tcPr>
          <w:p>
            <w:pPr>
              <w:spacing w:after="0"/>
              <w:rPr>
                <w:sz w:val="15"/>
                <w:szCs w:val="15"/>
                <w:color w:val="auto"/>
              </w:rPr>
            </w:pPr>
          </w:p>
        </w:tc>
        <w:tc>
          <w:tcPr>
            <w:tcW w:w="1380" w:type="dxa"/>
            <w:vAlign w:val="bottom"/>
          </w:tcPr>
          <w:p>
            <w:pPr>
              <w:jc w:val="right"/>
              <w:ind w:right="321"/>
              <w:spacing w:after="0"/>
              <w:rPr>
                <w:sz w:val="20"/>
                <w:szCs w:val="20"/>
                <w:color w:val="auto"/>
              </w:rPr>
            </w:pPr>
            <w:r>
              <w:rPr>
                <w:rFonts w:ascii="Times New Roman" w:cs="Times New Roman" w:eastAsia="Times New Roman" w:hAnsi="Times New Roman"/>
                <w:sz w:val="13"/>
                <w:szCs w:val="13"/>
                <w:color w:val="auto"/>
              </w:rPr>
              <w:t>Global Ceramic</w:t>
            </w:r>
          </w:p>
        </w:tc>
        <w:tc>
          <w:tcPr>
            <w:tcW w:w="1400" w:type="dxa"/>
            <w:vAlign w:val="bottom"/>
          </w:tcPr>
          <w:p>
            <w:pPr>
              <w:jc w:val="right"/>
              <w:ind w:right="261"/>
              <w:spacing w:after="0"/>
              <w:rPr>
                <w:sz w:val="20"/>
                <w:szCs w:val="20"/>
                <w:color w:val="auto"/>
              </w:rPr>
            </w:pPr>
            <w:r>
              <w:rPr>
                <w:rFonts w:ascii="Times New Roman" w:cs="Times New Roman" w:eastAsia="Times New Roman" w:hAnsi="Times New Roman"/>
                <w:sz w:val="13"/>
                <w:szCs w:val="13"/>
                <w:color w:val="auto"/>
              </w:rPr>
              <w:t>Flooring NA</w:t>
            </w:r>
          </w:p>
        </w:tc>
        <w:tc>
          <w:tcPr>
            <w:tcW w:w="1600" w:type="dxa"/>
            <w:vAlign w:val="bottom"/>
          </w:tcPr>
          <w:p>
            <w:pPr>
              <w:jc w:val="right"/>
              <w:ind w:right="401"/>
              <w:spacing w:after="0"/>
              <w:rPr>
                <w:sz w:val="20"/>
                <w:szCs w:val="20"/>
                <w:color w:val="auto"/>
              </w:rPr>
            </w:pPr>
            <w:r>
              <w:rPr>
                <w:rFonts w:ascii="Times New Roman" w:cs="Times New Roman" w:eastAsia="Times New Roman" w:hAnsi="Times New Roman"/>
                <w:sz w:val="13"/>
                <w:szCs w:val="13"/>
                <w:color w:val="auto"/>
              </w:rPr>
              <w:t>Flooring ROW</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Total</w:t>
            </w:r>
          </w:p>
        </w:tc>
      </w:tr>
      <w:tr>
        <w:trPr>
          <w:trHeight w:val="23"/>
        </w:trPr>
        <w:tc>
          <w:tcPr>
            <w:tcW w:w="34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Geographical Markets:</w:t>
            </w:r>
          </w:p>
        </w:tc>
        <w:tc>
          <w:tcPr>
            <w:tcW w:w="24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06"/>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4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1,819.3</w:t>
            </w:r>
          </w:p>
        </w:tc>
        <w:tc>
          <w:tcPr>
            <w:tcW w:w="140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2,729.3</w:t>
            </w:r>
          </w:p>
        </w:tc>
        <w:tc>
          <w:tcPr>
            <w:tcW w:w="1600" w:type="dxa"/>
            <w:vAlign w:val="bottom"/>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12.0</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4,560.6</w:t>
            </w:r>
          </w:p>
        </w:tc>
      </w:tr>
      <w:tr>
        <w:trPr>
          <w:trHeight w:val="20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24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936.6</w:t>
            </w:r>
          </w:p>
        </w:tc>
        <w:tc>
          <w:tcPr>
            <w:tcW w:w="140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2.6</w:t>
            </w:r>
          </w:p>
        </w:tc>
        <w:tc>
          <w:tcPr>
            <w:tcW w:w="160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1,764.2</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2,703.4</w:t>
            </w:r>
          </w:p>
        </w:tc>
      </w:tr>
      <w:tr>
        <w:trPr>
          <w:trHeight w:val="206"/>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Latin America</w:t>
            </w:r>
          </w:p>
        </w:tc>
        <w:tc>
          <w:tcPr>
            <w:tcW w:w="2400" w:type="dxa"/>
            <w:vAlign w:val="bottom"/>
          </w:tcPr>
          <w:p>
            <w:pPr>
              <w:spacing w:after="0"/>
              <w:rPr>
                <w:sz w:val="17"/>
                <w:szCs w:val="17"/>
                <w:color w:val="auto"/>
              </w:rPr>
            </w:pPr>
          </w:p>
        </w:tc>
        <w:tc>
          <w:tcPr>
            <w:tcW w:w="138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544.3</w:t>
            </w:r>
          </w:p>
        </w:tc>
        <w:tc>
          <w:tcPr>
            <w:tcW w:w="140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4.4</w:t>
            </w:r>
          </w:p>
        </w:tc>
        <w:tc>
          <w:tcPr>
            <w:tcW w:w="1600" w:type="dxa"/>
            <w:vAlign w:val="bottom"/>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37.6</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586.3</w:t>
            </w:r>
          </w:p>
        </w:tc>
      </w:tr>
      <w:tr>
        <w:trPr>
          <w:trHeight w:val="206"/>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135.5</w:t>
            </w:r>
          </w:p>
        </w:tc>
        <w:tc>
          <w:tcPr>
            <w:tcW w:w="140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69.7</w:t>
            </w:r>
          </w:p>
        </w:tc>
        <w:tc>
          <w:tcPr>
            <w:tcW w:w="1600" w:type="dxa"/>
            <w:vAlign w:val="bottom"/>
            <w:tcBorders>
              <w:bottom w:val="single" w:sz="8" w:color="auto"/>
            </w:tcBorders>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450.6</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655.8</w:t>
            </w:r>
          </w:p>
        </w:tc>
      </w:tr>
      <w:tr>
        <w:trPr>
          <w:trHeight w:val="203"/>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3,435.7</w:t>
            </w:r>
          </w:p>
        </w:tc>
        <w:tc>
          <w:tcPr>
            <w:tcW w:w="14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2,806.0</w:t>
            </w:r>
          </w:p>
        </w:tc>
        <w:tc>
          <w:tcPr>
            <w:tcW w:w="16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2,264.4</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8,506.1</w:t>
            </w:r>
          </w:p>
        </w:tc>
      </w:tr>
      <w:tr>
        <w:trPr>
          <w:trHeight w:val="230"/>
        </w:trPr>
        <w:tc>
          <w:tcPr>
            <w:tcW w:w="346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194"/>
        </w:trPr>
        <w:tc>
          <w:tcPr>
            <w:tcW w:w="3460" w:type="dxa"/>
            <w:vAlign w:val="bottom"/>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Product Categories:</w:t>
            </w:r>
          </w:p>
        </w:tc>
        <w:tc>
          <w:tcPr>
            <w:tcW w:w="2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Ceramic &amp; Stone</w:t>
            </w:r>
          </w:p>
        </w:tc>
        <w:tc>
          <w:tcPr>
            <w:tcW w:w="2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3,382.7</w:t>
            </w:r>
          </w:p>
        </w:tc>
        <w:tc>
          <w:tcPr>
            <w:tcW w:w="140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3,382.7</w:t>
            </w:r>
          </w:p>
        </w:tc>
      </w:tr>
      <w:tr>
        <w:trPr>
          <w:trHeight w:val="206"/>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Carpet &amp; Resilient</w:t>
            </w:r>
          </w:p>
        </w:tc>
        <w:tc>
          <w:tcPr>
            <w:tcW w:w="2400" w:type="dxa"/>
            <w:vAlign w:val="bottom"/>
          </w:tcPr>
          <w:p>
            <w:pPr>
              <w:spacing w:after="0"/>
              <w:rPr>
                <w:sz w:val="17"/>
                <w:szCs w:val="17"/>
                <w:color w:val="auto"/>
              </w:rPr>
            </w:pPr>
          </w:p>
        </w:tc>
        <w:tc>
          <w:tcPr>
            <w:tcW w:w="138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53.0</w:t>
            </w:r>
          </w:p>
        </w:tc>
        <w:tc>
          <w:tcPr>
            <w:tcW w:w="140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2,169.4</w:t>
            </w:r>
          </w:p>
        </w:tc>
        <w:tc>
          <w:tcPr>
            <w:tcW w:w="1600" w:type="dxa"/>
            <w:vAlign w:val="bottom"/>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633.1</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2,855.5</w:t>
            </w:r>
          </w:p>
        </w:tc>
      </w:tr>
      <w:tr>
        <w:trPr>
          <w:trHeight w:val="20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Laminate &amp; Wood</w:t>
            </w:r>
          </w:p>
        </w:tc>
        <w:tc>
          <w:tcPr>
            <w:tcW w:w="24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636.6</w:t>
            </w:r>
          </w:p>
        </w:tc>
        <w:tc>
          <w:tcPr>
            <w:tcW w:w="160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727.4</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1,364.0</w:t>
            </w:r>
          </w:p>
        </w:tc>
      </w:tr>
      <w:tr>
        <w:trPr>
          <w:trHeight w:val="206"/>
        </w:trPr>
        <w:tc>
          <w:tcPr>
            <w:tcW w:w="3460" w:type="dxa"/>
            <w:vAlign w:val="bottom"/>
            <w:tcBorders>
              <w:bottom w:val="single" w:sz="8" w:color="auto"/>
            </w:tcBorders>
          </w:tcPr>
          <w:p>
            <w:pPr>
              <w:ind w:left="20"/>
              <w:spacing w:after="0" w:line="20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2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903.9</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903.9</w:t>
            </w:r>
          </w:p>
        </w:tc>
      </w:tr>
      <w:tr>
        <w:trPr>
          <w:trHeight w:val="203"/>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3,435.7</w:t>
            </w:r>
          </w:p>
        </w:tc>
        <w:tc>
          <w:tcPr>
            <w:tcW w:w="140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2,806.0</w:t>
            </w:r>
          </w:p>
        </w:tc>
        <w:tc>
          <w:tcPr>
            <w:tcW w:w="1600" w:type="dxa"/>
            <w:vAlign w:val="bottom"/>
            <w:tcBorders>
              <w:bottom w:val="single" w:sz="8" w:color="auto"/>
            </w:tcBorders>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2,264.4</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8,506.1</w:t>
            </w:r>
          </w:p>
        </w:tc>
      </w:tr>
      <w:tr>
        <w:trPr>
          <w:trHeight w:val="751"/>
        </w:trPr>
        <w:tc>
          <w:tcPr>
            <w:tcW w:w="3460" w:type="dxa"/>
            <w:vAlign w:val="bottom"/>
          </w:tcPr>
          <w:p>
            <w:pPr>
              <w:spacing w:after="0"/>
              <w:rPr>
                <w:sz w:val="24"/>
                <w:szCs w:val="24"/>
                <w:color w:val="auto"/>
              </w:rPr>
            </w:pPr>
          </w:p>
        </w:tc>
        <w:tc>
          <w:tcPr>
            <w:tcW w:w="2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4"/>
        </w:trPr>
        <w:tc>
          <w:tcPr>
            <w:tcW w:w="346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3"/>
          </w:cols>
          <w:pgMar w:left="317" w:top="135" w:right="319" w:bottom="1440" w:gutter="0" w:footer="0" w:header="0"/>
        </w:sectPr>
      </w:pPr>
    </w:p>
    <w:bookmarkStart w:id="12" w:name="page13"/>
    <w:bookmarkEnd w:id="12"/>
    <w:p>
      <w:pPr>
        <w:ind w:left="3"/>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tbl>
      <w:tblPr>
        <w:tblLayout w:type="fixed"/>
        <w:tblInd w:w="3" w:type="dxa"/>
        <w:tblCellMar>
          <w:top w:w="0" w:type="dxa"/>
          <w:left w:w="0" w:type="dxa"/>
          <w:bottom w:w="0" w:type="dxa"/>
          <w:right w:w="0" w:type="dxa"/>
        </w:tblCellMar>
      </w:tblPr>
      <w:tr>
        <w:trPr>
          <w:trHeight w:val="167"/>
        </w:trPr>
        <w:tc>
          <w:tcPr>
            <w:tcW w:w="3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millions)</w:t>
            </w:r>
          </w:p>
        </w:tc>
        <w:tc>
          <w:tcPr>
            <w:tcW w:w="2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2"/>
        </w:trPr>
        <w:tc>
          <w:tcPr>
            <w:tcW w:w="3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September 27, 2025</w:t>
            </w:r>
          </w:p>
        </w:tc>
        <w:tc>
          <w:tcPr>
            <w:tcW w:w="2320" w:type="dxa"/>
            <w:vAlign w:val="bottom"/>
          </w:tcPr>
          <w:p>
            <w:pPr>
              <w:spacing w:after="0"/>
              <w:rPr>
                <w:sz w:val="15"/>
                <w:szCs w:val="15"/>
                <w:color w:val="auto"/>
              </w:rPr>
            </w:pPr>
          </w:p>
        </w:tc>
        <w:tc>
          <w:tcPr>
            <w:tcW w:w="1440" w:type="dxa"/>
            <w:vAlign w:val="bottom"/>
          </w:tcPr>
          <w:p>
            <w:pPr>
              <w:jc w:val="right"/>
              <w:ind w:right="321"/>
              <w:spacing w:after="0"/>
              <w:rPr>
                <w:sz w:val="20"/>
                <w:szCs w:val="20"/>
                <w:color w:val="auto"/>
              </w:rPr>
            </w:pPr>
            <w:r>
              <w:rPr>
                <w:rFonts w:ascii="Times New Roman" w:cs="Times New Roman" w:eastAsia="Times New Roman" w:hAnsi="Times New Roman"/>
                <w:sz w:val="13"/>
                <w:szCs w:val="13"/>
                <w:color w:val="auto"/>
              </w:rPr>
              <w:t>Global Ceramic</w:t>
            </w:r>
          </w:p>
        </w:tc>
        <w:tc>
          <w:tcPr>
            <w:tcW w:w="1400" w:type="dxa"/>
            <w:vAlign w:val="bottom"/>
          </w:tcPr>
          <w:p>
            <w:pPr>
              <w:jc w:val="right"/>
              <w:ind w:right="261"/>
              <w:spacing w:after="0"/>
              <w:rPr>
                <w:sz w:val="20"/>
                <w:szCs w:val="20"/>
                <w:color w:val="auto"/>
              </w:rPr>
            </w:pPr>
            <w:r>
              <w:rPr>
                <w:rFonts w:ascii="Times New Roman" w:cs="Times New Roman" w:eastAsia="Times New Roman" w:hAnsi="Times New Roman"/>
                <w:sz w:val="13"/>
                <w:szCs w:val="13"/>
                <w:color w:val="auto"/>
              </w:rPr>
              <w:t>Flooring NA</w:t>
            </w:r>
          </w:p>
        </w:tc>
        <w:tc>
          <w:tcPr>
            <w:tcW w:w="1600" w:type="dxa"/>
            <w:vAlign w:val="bottom"/>
          </w:tcPr>
          <w:p>
            <w:pPr>
              <w:jc w:val="right"/>
              <w:ind w:right="401"/>
              <w:spacing w:after="0"/>
              <w:rPr>
                <w:sz w:val="20"/>
                <w:szCs w:val="20"/>
                <w:color w:val="auto"/>
              </w:rPr>
            </w:pPr>
            <w:r>
              <w:rPr>
                <w:rFonts w:ascii="Times New Roman" w:cs="Times New Roman" w:eastAsia="Times New Roman" w:hAnsi="Times New Roman"/>
                <w:sz w:val="13"/>
                <w:szCs w:val="13"/>
                <w:color w:val="auto"/>
              </w:rPr>
              <w:t>Flooring ROW</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Total</w:t>
            </w:r>
          </w:p>
        </w:tc>
      </w:tr>
      <w:tr>
        <w:trPr>
          <w:trHeight w:val="23"/>
        </w:trPr>
        <w:tc>
          <w:tcPr>
            <w:tcW w:w="348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Geographical Markets:</w:t>
            </w:r>
          </w:p>
        </w:tc>
        <w:tc>
          <w:tcPr>
            <w:tcW w:w="23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06"/>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rPr>
              <w:t>1,707.0</w:t>
            </w:r>
          </w:p>
        </w:tc>
        <w:tc>
          <w:tcPr>
            <w:tcW w:w="140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2,674.9</w:t>
            </w:r>
          </w:p>
        </w:tc>
        <w:tc>
          <w:tcPr>
            <w:tcW w:w="160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9.0</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4,390.9</w:t>
            </w:r>
          </w:p>
        </w:tc>
      </w:tr>
      <w:tr>
        <w:trPr>
          <w:trHeight w:val="20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23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rPr>
              <w:t>877.9</w:t>
            </w:r>
          </w:p>
        </w:tc>
        <w:tc>
          <w:tcPr>
            <w:tcW w:w="140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2.1</w:t>
            </w:r>
          </w:p>
        </w:tc>
        <w:tc>
          <w:tcPr>
            <w:tcW w:w="160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rPr>
              <w:t>1,627.4</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2,507.4</w:t>
            </w:r>
          </w:p>
        </w:tc>
      </w:tr>
      <w:tr>
        <w:trPr>
          <w:trHeight w:val="206"/>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Latin America</w:t>
            </w:r>
          </w:p>
        </w:tc>
        <w:tc>
          <w:tcPr>
            <w:tcW w:w="2320" w:type="dxa"/>
            <w:vAlign w:val="bottom"/>
          </w:tcPr>
          <w:p>
            <w:pPr>
              <w:spacing w:after="0"/>
              <w:rPr>
                <w:sz w:val="17"/>
                <w:szCs w:val="17"/>
                <w:color w:val="auto"/>
              </w:rPr>
            </w:pPr>
          </w:p>
        </w:tc>
        <w:tc>
          <w:tcPr>
            <w:tcW w:w="144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rPr>
              <w:t>502.2</w:t>
            </w:r>
          </w:p>
        </w:tc>
        <w:tc>
          <w:tcPr>
            <w:tcW w:w="140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3.9</w:t>
            </w:r>
          </w:p>
        </w:tc>
        <w:tc>
          <w:tcPr>
            <w:tcW w:w="160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26.5</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532.6</w:t>
            </w:r>
          </w:p>
        </w:tc>
      </w:tr>
      <w:tr>
        <w:trPr>
          <w:trHeight w:val="206"/>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3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rPr>
              <w:t>132.2</w:t>
            </w:r>
          </w:p>
        </w:tc>
        <w:tc>
          <w:tcPr>
            <w:tcW w:w="140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65.1</w:t>
            </w:r>
          </w:p>
        </w:tc>
        <w:tc>
          <w:tcPr>
            <w:tcW w:w="1600" w:type="dxa"/>
            <w:vAlign w:val="bottom"/>
            <w:tcBorders>
              <w:bottom w:val="single" w:sz="8" w:color="auto"/>
            </w:tcBorders>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rPr>
              <w:t>457.5</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654.8</w:t>
            </w:r>
          </w:p>
        </w:tc>
      </w:tr>
      <w:tr>
        <w:trPr>
          <w:trHeight w:val="20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3,219.3</w:t>
            </w:r>
          </w:p>
        </w:tc>
        <w:tc>
          <w:tcPr>
            <w:tcW w:w="14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2,746.0</w:t>
            </w:r>
          </w:p>
        </w:tc>
        <w:tc>
          <w:tcPr>
            <w:tcW w:w="16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rPr>
              <w:t>2,120.4</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8,085.7</w:t>
            </w:r>
          </w:p>
        </w:tc>
      </w:tr>
      <w:tr>
        <w:trPr>
          <w:trHeight w:val="230"/>
        </w:trPr>
        <w:tc>
          <w:tcPr>
            <w:tcW w:w="348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193"/>
        </w:trPr>
        <w:tc>
          <w:tcPr>
            <w:tcW w:w="34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Product Categories:</w:t>
            </w:r>
          </w:p>
        </w:tc>
        <w:tc>
          <w:tcPr>
            <w:tcW w:w="2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Ceramic &amp; Stone</w:t>
            </w:r>
          </w:p>
        </w:tc>
        <w:tc>
          <w:tcPr>
            <w:tcW w:w="2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rPr>
              <w:t>3,163.5</w:t>
            </w:r>
          </w:p>
        </w:tc>
        <w:tc>
          <w:tcPr>
            <w:tcW w:w="140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3,163.5</w:t>
            </w:r>
          </w:p>
        </w:tc>
      </w:tr>
      <w:tr>
        <w:trPr>
          <w:trHeight w:val="206"/>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Carpet &amp; Resilient</w:t>
            </w:r>
          </w:p>
        </w:tc>
        <w:tc>
          <w:tcPr>
            <w:tcW w:w="2320" w:type="dxa"/>
            <w:vAlign w:val="bottom"/>
          </w:tcPr>
          <w:p>
            <w:pPr>
              <w:spacing w:after="0"/>
              <w:rPr>
                <w:sz w:val="17"/>
                <w:szCs w:val="17"/>
                <w:color w:val="auto"/>
              </w:rPr>
            </w:pPr>
          </w:p>
        </w:tc>
        <w:tc>
          <w:tcPr>
            <w:tcW w:w="144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rPr>
              <w:t>55.8</w:t>
            </w:r>
          </w:p>
        </w:tc>
        <w:tc>
          <w:tcPr>
            <w:tcW w:w="140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2,154.4</w:t>
            </w:r>
          </w:p>
        </w:tc>
        <w:tc>
          <w:tcPr>
            <w:tcW w:w="160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615.7</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2,825.9</w:t>
            </w:r>
          </w:p>
        </w:tc>
      </w:tr>
      <w:tr>
        <w:trPr>
          <w:trHeight w:val="20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Laminate &amp; Wood</w:t>
            </w:r>
          </w:p>
        </w:tc>
        <w:tc>
          <w:tcPr>
            <w:tcW w:w="23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591.6</w:t>
            </w:r>
          </w:p>
        </w:tc>
        <w:tc>
          <w:tcPr>
            <w:tcW w:w="160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rPr>
              <w:t>696.5</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1,288.1</w:t>
            </w:r>
          </w:p>
        </w:tc>
      </w:tr>
      <w:tr>
        <w:trPr>
          <w:trHeight w:val="206"/>
        </w:trPr>
        <w:tc>
          <w:tcPr>
            <w:tcW w:w="3480" w:type="dxa"/>
            <w:vAlign w:val="bottom"/>
            <w:tcBorders>
              <w:bottom w:val="single" w:sz="8" w:color="auto"/>
            </w:tcBorders>
          </w:tcPr>
          <w:p>
            <w:pPr>
              <w:ind w:left="20"/>
              <w:spacing w:after="0" w:line="20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2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rPr>
              <w:t>808.2</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808.2</w:t>
            </w:r>
          </w:p>
        </w:tc>
      </w:tr>
      <w:tr>
        <w:trPr>
          <w:trHeight w:val="203"/>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rPr>
              <w:t>3,219.3</w:t>
            </w:r>
          </w:p>
        </w:tc>
        <w:tc>
          <w:tcPr>
            <w:tcW w:w="140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2,746.0</w:t>
            </w:r>
          </w:p>
        </w:tc>
        <w:tc>
          <w:tcPr>
            <w:tcW w:w="1600" w:type="dxa"/>
            <w:vAlign w:val="bottom"/>
            <w:tcBorders>
              <w:bottom w:val="single" w:sz="8" w:color="auto"/>
            </w:tcBorders>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rPr>
              <w:t>2,120.4</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8,085.7</w:t>
            </w:r>
          </w:p>
        </w:tc>
      </w:tr>
    </w:tbl>
    <w:p>
      <w:pPr>
        <w:spacing w:after="0" w:line="113" w:lineRule="exact"/>
        <w:rPr>
          <w:sz w:val="20"/>
          <w:szCs w:val="20"/>
          <w:color w:val="auto"/>
        </w:rPr>
      </w:pPr>
    </w:p>
    <w:p>
      <w:pPr>
        <w:ind w:left="123" w:hanging="123"/>
        <w:spacing w:after="0"/>
        <w:tabs>
          <w:tab w:leader="none" w:pos="123" w:val="left"/>
        </w:tabs>
        <w:numPr>
          <w:ilvl w:val="0"/>
          <w:numId w:val="4"/>
        </w:numPr>
        <w:rPr>
          <w:rFonts w:ascii="Times New Roman" w:cs="Times New Roman" w:eastAsia="Times New Roman" w:hAnsi="Times New Roman"/>
          <w:sz w:val="8"/>
          <w:szCs w:val="8"/>
          <w:color w:val="auto"/>
        </w:rPr>
      </w:pPr>
      <w:r>
        <w:rPr>
          <w:rFonts w:ascii="Times New Roman" w:cs="Times New Roman" w:eastAsia="Times New Roman" w:hAnsi="Times New Roman"/>
          <w:sz w:val="13"/>
          <w:szCs w:val="13"/>
          <w:color w:val="auto"/>
        </w:rPr>
        <w:t>Other includes roofing elements, insulation boards, chipboards and IP contracts.</w:t>
      </w:r>
    </w:p>
    <w:p>
      <w:pPr>
        <w:spacing w:after="0" w:line="30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3. Restructuring, Acquisition and Integration-Related Costs</w:t>
      </w:r>
    </w:p>
    <w:p>
      <w:pPr>
        <w:spacing w:after="0" w:line="267" w:lineRule="exact"/>
        <w:rPr>
          <w:sz w:val="20"/>
          <w:szCs w:val="20"/>
          <w:color w:val="auto"/>
        </w:rPr>
      </w:pPr>
    </w:p>
    <w:p>
      <w:pPr>
        <w:ind w:left="3" w:right="20" w:firstLine="582"/>
        <w:spacing w:after="0" w:line="318" w:lineRule="auto"/>
        <w:rPr>
          <w:sz w:val="20"/>
          <w:szCs w:val="20"/>
          <w:color w:val="auto"/>
        </w:rPr>
      </w:pPr>
      <w:r>
        <w:rPr>
          <w:rFonts w:ascii="Times New Roman" w:cs="Times New Roman" w:eastAsia="Times New Roman" w:hAnsi="Times New Roman"/>
          <w:sz w:val="16"/>
          <w:szCs w:val="16"/>
          <w:color w:val="auto"/>
        </w:rPr>
        <w:t>The Company incurs costs in connection with acquiring, integrating and restructuring acquisitions and in connection with its global cost-reduction and productivity initiatives. For example:</w:t>
      </w:r>
    </w:p>
    <w:p>
      <w:pPr>
        <w:spacing w:after="0" w:line="179" w:lineRule="exact"/>
        <w:rPr>
          <w:sz w:val="20"/>
          <w:szCs w:val="20"/>
          <w:color w:val="auto"/>
        </w:rPr>
      </w:pPr>
    </w:p>
    <w:p>
      <w:pPr>
        <w:jc w:val="both"/>
        <w:ind w:left="583" w:hanging="292"/>
        <w:spacing w:after="0" w:line="290" w:lineRule="auto"/>
        <w:tabs>
          <w:tab w:leader="none" w:pos="57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acquisition activity, the Company typically incurs costs associated with executing the transactions, integrating the acquired operations (which may include expenditures for consulting and the integration of systems and processes), and restructuring the combined company (which may include charges related to employees, assets and activities that will not continue in the combined company); and</w:t>
      </w:r>
    </w:p>
    <w:p>
      <w:pPr>
        <w:ind w:left="583" w:right="20" w:hanging="292"/>
        <w:spacing w:after="0" w:line="334" w:lineRule="auto"/>
        <w:tabs>
          <w:tab w:leader="none" w:pos="57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Company’s cost-reduction/productivity initiatives, it typically incurs costs and charges associated with site closings and other facility rationalization actions, including accelerated depreciation (“asset write-downs”) and workforce reductions.</w:t>
      </w:r>
    </w:p>
    <w:p>
      <w:pPr>
        <w:spacing w:after="0" w:line="155" w:lineRule="exact"/>
        <w:rPr>
          <w:sz w:val="20"/>
          <w:szCs w:val="20"/>
          <w:color w:val="auto"/>
        </w:rPr>
      </w:pPr>
    </w:p>
    <w:p>
      <w:pPr>
        <w:ind w:left="3" w:right="280"/>
        <w:spacing w:after="0" w:line="334" w:lineRule="auto"/>
        <w:rPr>
          <w:sz w:val="20"/>
          <w:szCs w:val="20"/>
          <w:color w:val="auto"/>
        </w:rPr>
      </w:pPr>
      <w:r>
        <w:rPr>
          <w:rFonts w:ascii="Times New Roman" w:cs="Times New Roman" w:eastAsia="Times New Roman" w:hAnsi="Times New Roman"/>
          <w:sz w:val="16"/>
          <w:szCs w:val="16"/>
          <w:color w:val="auto"/>
        </w:rPr>
        <w:t>Restructuring, acquisition transaction and integration-related costs consisted of the following during the three and nine months ended October 3, 2026, and September 27, 2025:</w:t>
      </w:r>
    </w:p>
    <w:p>
      <w:pPr>
        <w:spacing w:after="0" w:line="176" w:lineRule="exact"/>
        <w:rPr>
          <w:sz w:val="20"/>
          <w:szCs w:val="20"/>
          <w:color w:val="auto"/>
        </w:rPr>
      </w:pPr>
    </w:p>
    <w:tbl>
      <w:tblPr>
        <w:tblLayout w:type="fixed"/>
        <w:tblInd w:w="3" w:type="dxa"/>
        <w:tblCellMar>
          <w:top w:w="0" w:type="dxa"/>
          <w:left w:w="0" w:type="dxa"/>
          <w:bottom w:w="0" w:type="dxa"/>
          <w:right w:w="0" w:type="dxa"/>
        </w:tblCellMar>
      </w:tblPr>
      <w:tr>
        <w:trPr>
          <w:trHeight w:val="167"/>
        </w:trPr>
        <w:tc>
          <w:tcPr>
            <w:tcW w:w="4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Three Months Ended</w:t>
            </w:r>
          </w:p>
        </w:tc>
        <w:tc>
          <w:tcPr>
            <w:tcW w:w="14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Nine Months Ended</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(In millions)</w:t>
            </w:r>
          </w:p>
        </w:tc>
        <w:tc>
          <w:tcPr>
            <w:tcW w:w="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462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3"/>
                <w:szCs w:val="13"/>
                <w:b w:val="1"/>
                <w:bCs w:val="1"/>
                <w:color w:val="auto"/>
              </w:rPr>
              <w:t>October 3, 2026</w:t>
            </w:r>
          </w:p>
        </w:tc>
        <w:tc>
          <w:tcPr>
            <w:tcW w:w="14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3"/>
                <w:szCs w:val="13"/>
                <w:color w:val="auto"/>
              </w:rPr>
              <w:t>September 27, 2025</w:t>
            </w:r>
          </w:p>
        </w:tc>
        <w:tc>
          <w:tcPr>
            <w:tcW w:w="17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3"/>
                <w:szCs w:val="13"/>
                <w:b w:val="1"/>
                <w:bCs w:val="1"/>
                <w:color w:val="auto"/>
              </w:rPr>
              <w:t>October 3, 2026</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September 27, 2025</w:t>
            </w:r>
          </w:p>
        </w:tc>
        <w:tc>
          <w:tcPr>
            <w:tcW w:w="0" w:type="dxa"/>
            <w:vAlign w:val="bottom"/>
          </w:tcPr>
          <w:p>
            <w:pPr>
              <w:spacing w:after="0"/>
              <w:rPr>
                <w:sz w:val="1"/>
                <w:szCs w:val="1"/>
                <w:color w:val="auto"/>
              </w:rPr>
            </w:pPr>
          </w:p>
        </w:tc>
      </w:tr>
      <w:tr>
        <w:trPr>
          <w:trHeight w:val="20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Cost of sales:</w:t>
            </w:r>
          </w:p>
        </w:tc>
        <w:tc>
          <w:tcPr>
            <w:tcW w:w="4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costs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40" w:type="dxa"/>
            <w:vAlign w:val="bottom"/>
          </w:tcPr>
          <w:p>
            <w:pPr>
              <w:jc w:val="right"/>
              <w:ind w:right="623"/>
              <w:spacing w:after="0"/>
              <w:rPr>
                <w:sz w:val="20"/>
                <w:szCs w:val="20"/>
                <w:color w:val="auto"/>
              </w:rPr>
            </w:pPr>
            <w:r>
              <w:rPr>
                <w:rFonts w:ascii="Times New Roman" w:cs="Times New Roman" w:eastAsia="Times New Roman" w:hAnsi="Times New Roman"/>
                <w:sz w:val="16"/>
                <w:szCs w:val="16"/>
                <w:b w:val="1"/>
                <w:bCs w:val="1"/>
                <w:color w:val="auto"/>
              </w:rPr>
              <w:t>10.4</w:t>
            </w:r>
          </w:p>
        </w:tc>
        <w:tc>
          <w:tcPr>
            <w:tcW w:w="144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44.1</w:t>
            </w:r>
          </w:p>
        </w:tc>
        <w:tc>
          <w:tcPr>
            <w:tcW w:w="1780" w:type="dxa"/>
            <w:vAlign w:val="bottom"/>
          </w:tcPr>
          <w:p>
            <w:pPr>
              <w:jc w:val="right"/>
              <w:ind w:right="523"/>
              <w:spacing w:after="0"/>
              <w:rPr>
                <w:sz w:val="20"/>
                <w:szCs w:val="20"/>
                <w:color w:val="auto"/>
              </w:rPr>
            </w:pPr>
            <w:r>
              <w:rPr>
                <w:rFonts w:ascii="Times New Roman" w:cs="Times New Roman" w:eastAsia="Times New Roman" w:hAnsi="Times New Roman"/>
                <w:sz w:val="16"/>
                <w:szCs w:val="16"/>
                <w:b w:val="1"/>
                <w:bCs w:val="1"/>
                <w:color w:val="auto"/>
              </w:rPr>
              <w:t>72.2</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95.5</w:t>
            </w:r>
          </w:p>
        </w:tc>
        <w:tc>
          <w:tcPr>
            <w:tcW w:w="0" w:type="dxa"/>
            <w:vAlign w:val="bottom"/>
          </w:tcPr>
          <w:p>
            <w:pPr>
              <w:spacing w:after="0"/>
              <w:rPr>
                <w:sz w:val="1"/>
                <w:szCs w:val="1"/>
                <w:color w:val="auto"/>
              </w:rPr>
            </w:pPr>
          </w:p>
        </w:tc>
      </w:tr>
      <w:tr>
        <w:trPr>
          <w:trHeight w:val="206"/>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transaction-related costs</w:t>
            </w:r>
          </w:p>
        </w:tc>
        <w:tc>
          <w:tcPr>
            <w:tcW w:w="40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Restructuring, acquisition transaction and integration-related costs</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4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6"/>
                <w:szCs w:val="16"/>
                <w:b w:val="1"/>
                <w:bCs w:val="1"/>
                <w:color w:val="auto"/>
              </w:rPr>
              <w:t>10.4</w:t>
            </w:r>
          </w:p>
        </w:tc>
        <w:tc>
          <w:tcPr>
            <w:tcW w:w="14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44.1</w:t>
            </w:r>
          </w:p>
        </w:tc>
        <w:tc>
          <w:tcPr>
            <w:tcW w:w="178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6"/>
                <w:szCs w:val="16"/>
                <w:b w:val="1"/>
                <w:bCs w:val="1"/>
                <w:color w:val="auto"/>
              </w:rPr>
              <w:t>72.2</w:t>
            </w: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95.5</w:t>
            </w:r>
          </w:p>
        </w:tc>
        <w:tc>
          <w:tcPr>
            <w:tcW w:w="0" w:type="dxa"/>
            <w:vAlign w:val="bottom"/>
          </w:tcPr>
          <w:p>
            <w:pPr>
              <w:spacing w:after="0"/>
              <w:rPr>
                <w:sz w:val="1"/>
                <w:szCs w:val="1"/>
                <w:color w:val="auto"/>
              </w:rPr>
            </w:pPr>
          </w:p>
        </w:tc>
      </w:tr>
      <w:tr>
        <w:trPr>
          <w:trHeight w:val="206"/>
        </w:trPr>
        <w:tc>
          <w:tcPr>
            <w:tcW w:w="46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 expenses:</w:t>
            </w:r>
          </w:p>
        </w:tc>
        <w:tc>
          <w:tcPr>
            <w:tcW w:w="40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178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costs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4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6"/>
                <w:szCs w:val="16"/>
                <w:b w:val="1"/>
                <w:bCs w:val="1"/>
                <w:color w:val="auto"/>
              </w:rPr>
              <w:t>1.9</w:t>
            </w:r>
          </w:p>
        </w:tc>
        <w:tc>
          <w:tcPr>
            <w:tcW w:w="144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2.6</w:t>
            </w:r>
          </w:p>
        </w:tc>
        <w:tc>
          <w:tcPr>
            <w:tcW w:w="178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6"/>
                <w:szCs w:val="16"/>
                <w:b w:val="1"/>
                <w:bCs w:val="1"/>
                <w:color w:val="auto"/>
              </w:rPr>
              <w:t>16.2</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6"/>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Acquisition transaction-related costs</w:t>
            </w:r>
          </w:p>
        </w:tc>
        <w:tc>
          <w:tcPr>
            <w:tcW w:w="4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6"/>
                <w:szCs w:val="16"/>
                <w:b w:val="1"/>
                <w:bCs w:val="1"/>
                <w:color w:val="auto"/>
              </w:rPr>
              <w:t>0.1</w:t>
            </w:r>
          </w:p>
        </w:tc>
        <w:tc>
          <w:tcPr>
            <w:tcW w:w="14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0.4</w:t>
            </w:r>
          </w:p>
        </w:tc>
        <w:tc>
          <w:tcPr>
            <w:tcW w:w="178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6"/>
                <w:szCs w:val="16"/>
                <w:b w:val="1"/>
                <w:bCs w:val="1"/>
                <w:color w:val="auto"/>
              </w:rPr>
              <w:t>0.6</w:t>
            </w: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3"/>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acquisition transaction and integration-related costs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40" w:type="dxa"/>
            <w:vAlign w:val="bottom"/>
            <w:tcBorders>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6"/>
                <w:szCs w:val="16"/>
                <w:b w:val="1"/>
                <w:bCs w:val="1"/>
                <w:color w:val="auto"/>
              </w:rPr>
              <w:t>2.0</w:t>
            </w:r>
          </w:p>
        </w:tc>
        <w:tc>
          <w:tcPr>
            <w:tcW w:w="144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3.0</w:t>
            </w:r>
          </w:p>
        </w:tc>
        <w:tc>
          <w:tcPr>
            <w:tcW w:w="1780" w:type="dxa"/>
            <w:vAlign w:val="bottom"/>
            <w:tcBorders>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6"/>
                <w:szCs w:val="16"/>
                <w:b w:val="1"/>
                <w:bCs w:val="1"/>
                <w:color w:val="auto"/>
              </w:rPr>
              <w:t>16.8</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81280</wp:posOffset>
            </wp:positionV>
            <wp:extent cx="717169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3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ind w:right="20" w:firstLine="582"/>
        <w:spacing w:after="0" w:line="285" w:lineRule="auto"/>
        <w:rPr>
          <w:sz w:val="20"/>
          <w:szCs w:val="20"/>
          <w:color w:val="auto"/>
        </w:rPr>
      </w:pPr>
      <w:r>
        <w:rPr>
          <w:rFonts w:ascii="Times New Roman" w:cs="Times New Roman" w:eastAsia="Times New Roman" w:hAnsi="Times New Roman"/>
          <w:sz w:val="16"/>
          <w:szCs w:val="16"/>
          <w:color w:val="auto"/>
        </w:rPr>
        <w:t>During 2024 and 2025, the Company implemented a number of restructuring actions, productivity initiatives and manufacturing enhancements focused on reducing costs to enhance future performance, including certain facility, asset and product rationalizations and workforce reductions. In 2026, the Company announced further restructuring actions to take advantage of additional opportunities related to the activities described above, including assets and product rationalizations and workforce reductions to further reduce costs and streamline the business for the future.</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summarizes the restructuring activities for the three months ended October 3, 2026:</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0" w:type="dxa"/>
            <w:vAlign w:val="bottom"/>
            <w:vMerge w:val="restart"/>
          </w:tcPr>
          <w:p>
            <w:pPr>
              <w:jc w:val="right"/>
              <w:ind w:right="142"/>
              <w:spacing w:after="0"/>
              <w:rPr>
                <w:sz w:val="20"/>
                <w:szCs w:val="20"/>
                <w:color w:val="auto"/>
              </w:rPr>
            </w:pPr>
            <w:r>
              <w:rPr>
                <w:rFonts w:ascii="Times New Roman" w:cs="Times New Roman" w:eastAsia="Times New Roman" w:hAnsi="Times New Roman"/>
                <w:sz w:val="13"/>
                <w:szCs w:val="13"/>
                <w:color w:val="auto"/>
              </w:rPr>
              <w:t>Lease</w:t>
            </w:r>
          </w:p>
        </w:tc>
        <w:tc>
          <w:tcPr>
            <w:tcW w:w="1480" w:type="dxa"/>
            <w:vAlign w:val="bottom"/>
          </w:tcPr>
          <w:p>
            <w:pPr>
              <w:jc w:val="right"/>
              <w:ind w:right="363"/>
              <w:spacing w:after="0"/>
              <w:rPr>
                <w:sz w:val="20"/>
                <w:szCs w:val="20"/>
                <w:color w:val="auto"/>
              </w:rPr>
            </w:pPr>
            <w:r>
              <w:rPr>
                <w:rFonts w:ascii="Times New Roman" w:cs="Times New Roman" w:eastAsia="Times New Roman" w:hAnsi="Times New Roman"/>
                <w:sz w:val="13"/>
                <w:szCs w:val="13"/>
                <w:color w:val="auto"/>
              </w:rPr>
              <w:t>Asset write-downs</w:t>
            </w:r>
          </w:p>
        </w:tc>
        <w:tc>
          <w:tcPr>
            <w:tcW w:w="1220" w:type="dxa"/>
            <w:vAlign w:val="bottom"/>
          </w:tcPr>
          <w:p>
            <w:pPr>
              <w:spacing w:after="0"/>
              <w:rPr>
                <w:sz w:val="12"/>
                <w:szCs w:val="12"/>
                <w:color w:val="auto"/>
              </w:rPr>
            </w:pPr>
          </w:p>
        </w:tc>
        <w:tc>
          <w:tcPr>
            <w:tcW w:w="1400" w:type="dxa"/>
            <w:vAlign w:val="bottom"/>
          </w:tcPr>
          <w:p>
            <w:pPr>
              <w:jc w:val="center"/>
              <w:ind w:left="23"/>
              <w:spacing w:after="0"/>
              <w:rPr>
                <w:sz w:val="20"/>
                <w:szCs w:val="20"/>
                <w:color w:val="auto"/>
              </w:rPr>
            </w:pPr>
            <w:r>
              <w:rPr>
                <w:rFonts w:ascii="Times New Roman" w:cs="Times New Roman" w:eastAsia="Times New Roman" w:hAnsi="Times New Roman"/>
                <w:sz w:val="13"/>
                <w:szCs w:val="13"/>
                <w:color w:val="auto"/>
              </w:rPr>
              <w:t>Other</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(In millions)</w:t>
            </w:r>
          </w:p>
        </w:tc>
        <w:tc>
          <w:tcPr>
            <w:tcW w:w="1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480" w:type="dxa"/>
            <w:vAlign w:val="bottom"/>
          </w:tcPr>
          <w:p>
            <w:pPr>
              <w:jc w:val="right"/>
              <w:ind w:right="363"/>
              <w:spacing w:after="0" w:line="134" w:lineRule="exact"/>
              <w:rPr>
                <w:sz w:val="20"/>
                <w:szCs w:val="20"/>
                <w:color w:val="auto"/>
              </w:rPr>
            </w:pPr>
            <w:r>
              <w:rPr>
                <w:rFonts w:ascii="Times New Roman" w:cs="Times New Roman" w:eastAsia="Times New Roman" w:hAnsi="Times New Roman"/>
                <w:sz w:val="13"/>
                <w:szCs w:val="13"/>
                <w:color w:val="auto"/>
              </w:rPr>
              <w:t>and gains on</w:t>
            </w:r>
          </w:p>
        </w:tc>
        <w:tc>
          <w:tcPr>
            <w:tcW w:w="1220" w:type="dxa"/>
            <w:vAlign w:val="bottom"/>
            <w:vMerge w:val="restart"/>
          </w:tcPr>
          <w:p>
            <w:pPr>
              <w:jc w:val="right"/>
              <w:ind w:right="301"/>
              <w:spacing w:after="0"/>
              <w:rPr>
                <w:sz w:val="20"/>
                <w:szCs w:val="20"/>
                <w:color w:val="auto"/>
              </w:rPr>
            </w:pPr>
            <w:r>
              <w:rPr>
                <w:rFonts w:ascii="Times New Roman" w:cs="Times New Roman" w:eastAsia="Times New Roman" w:hAnsi="Times New Roman"/>
                <w:sz w:val="13"/>
                <w:szCs w:val="13"/>
                <w:color w:val="auto"/>
              </w:rPr>
              <w:t>Severance</w:t>
            </w:r>
          </w:p>
        </w:tc>
        <w:tc>
          <w:tcPr>
            <w:tcW w:w="1400" w:type="dxa"/>
            <w:vAlign w:val="bottom"/>
          </w:tcPr>
          <w:p>
            <w:pPr>
              <w:jc w:val="right"/>
              <w:ind w:right="423"/>
              <w:spacing w:after="0" w:line="134" w:lineRule="exact"/>
              <w:rPr>
                <w:sz w:val="20"/>
                <w:szCs w:val="20"/>
                <w:color w:val="auto"/>
              </w:rPr>
            </w:pPr>
            <w:r>
              <w:rPr>
                <w:rFonts w:ascii="Times New Roman" w:cs="Times New Roman" w:eastAsia="Times New Roman" w:hAnsi="Times New Roman"/>
                <w:sz w:val="13"/>
                <w:szCs w:val="13"/>
                <w:color w:val="auto"/>
              </w:rPr>
              <w:t>restructuring</w:t>
            </w:r>
          </w:p>
        </w:tc>
        <w:tc>
          <w:tcPr>
            <w:tcW w:w="1020" w:type="dxa"/>
            <w:vAlign w:val="bottom"/>
            <w:gridSpan w:val="3"/>
            <w:vMerge w:val="restart"/>
          </w:tcPr>
          <w:p>
            <w:pPr>
              <w:ind w:left="500"/>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72"/>
        </w:trPr>
        <w:tc>
          <w:tcPr>
            <w:tcW w:w="392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jc w:val="right"/>
              <w:ind w:right="142"/>
              <w:spacing w:after="0"/>
              <w:rPr>
                <w:sz w:val="20"/>
                <w:szCs w:val="20"/>
                <w:color w:val="auto"/>
              </w:rPr>
            </w:pPr>
            <w:r>
              <w:rPr>
                <w:rFonts w:ascii="Times New Roman" w:cs="Times New Roman" w:eastAsia="Times New Roman" w:hAnsi="Times New Roman"/>
                <w:sz w:val="13"/>
                <w:szCs w:val="13"/>
                <w:color w:val="auto"/>
              </w:rPr>
              <w:t>impairments</w:t>
            </w:r>
          </w:p>
        </w:tc>
        <w:tc>
          <w:tcPr>
            <w:tcW w:w="1480" w:type="dxa"/>
            <w:vAlign w:val="bottom"/>
          </w:tcPr>
          <w:p>
            <w:pPr>
              <w:jc w:val="right"/>
              <w:ind w:right="363"/>
              <w:spacing w:after="0"/>
              <w:rPr>
                <w:sz w:val="20"/>
                <w:szCs w:val="20"/>
                <w:color w:val="auto"/>
              </w:rPr>
            </w:pPr>
            <w:r>
              <w:rPr>
                <w:rFonts w:ascii="Times New Roman" w:cs="Times New Roman" w:eastAsia="Times New Roman" w:hAnsi="Times New Roman"/>
                <w:sz w:val="13"/>
                <w:szCs w:val="13"/>
                <w:color w:val="auto"/>
              </w:rPr>
              <w:t>disposals</w:t>
            </w:r>
          </w:p>
        </w:tc>
        <w:tc>
          <w:tcPr>
            <w:tcW w:w="1220" w:type="dxa"/>
            <w:vAlign w:val="bottom"/>
            <w:vMerge w:val="continue"/>
          </w:tcPr>
          <w:p>
            <w:pPr>
              <w:spacing w:after="0"/>
              <w:rPr>
                <w:sz w:val="14"/>
                <w:szCs w:val="14"/>
                <w:color w:val="auto"/>
              </w:rPr>
            </w:pPr>
          </w:p>
        </w:tc>
        <w:tc>
          <w:tcPr>
            <w:tcW w:w="1400" w:type="dxa"/>
            <w:vAlign w:val="bottom"/>
          </w:tcPr>
          <w:p>
            <w:pPr>
              <w:jc w:val="center"/>
              <w:ind w:left="63"/>
              <w:spacing w:after="0"/>
              <w:rPr>
                <w:sz w:val="20"/>
                <w:szCs w:val="20"/>
                <w:color w:val="auto"/>
              </w:rPr>
            </w:pPr>
            <w:r>
              <w:rPr>
                <w:rFonts w:ascii="Times New Roman" w:cs="Times New Roman" w:eastAsia="Times New Roman" w:hAnsi="Times New Roman"/>
                <w:sz w:val="13"/>
                <w:szCs w:val="13"/>
                <w:color w:val="auto"/>
                <w:w w:val="99"/>
              </w:rPr>
              <w:t>costs</w:t>
            </w: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4, 2026</w:t>
            </w:r>
          </w:p>
        </w:tc>
        <w:tc>
          <w:tcPr>
            <w:tcW w:w="1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top w:val="single" w:sz="8" w:color="auto"/>
            </w:tcBorders>
            <w:shd w:val="clear" w:color="auto" w:fill="CCEEFF"/>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Borders>
              <w:top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21.1</w:t>
            </w:r>
          </w:p>
        </w:tc>
        <w:tc>
          <w:tcPr>
            <w:tcW w:w="1400" w:type="dxa"/>
            <w:vAlign w:val="bottom"/>
            <w:tcBorders>
              <w:top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costs</w:t>
            </w: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Global Ceramic</w:t>
            </w: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0.1</w:t>
            </w:r>
          </w:p>
        </w:tc>
        <w:tc>
          <w:tcPr>
            <w:tcW w:w="1480" w:type="dxa"/>
            <w:vAlign w:val="bottom"/>
            <w:shd w:val="clear" w:color="auto" w:fill="CCEEFF"/>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1.0</w:t>
            </w:r>
          </w:p>
        </w:tc>
        <w:tc>
          <w:tcPr>
            <w:tcW w:w="122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(1.0)</w:t>
            </w:r>
          </w:p>
        </w:tc>
        <w:tc>
          <w:tcPr>
            <w:tcW w:w="140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6"/>
                <w:szCs w:val="16"/>
                <w:b w:val="1"/>
                <w:bCs w:val="1"/>
                <w:color w:val="auto"/>
              </w:rPr>
              <w:t>7.7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Flooring NA</w:t>
            </w:r>
          </w:p>
        </w:tc>
        <w:tc>
          <w:tcPr>
            <w:tcW w:w="1220" w:type="dxa"/>
            <w:vAlign w:val="bottom"/>
          </w:tcPr>
          <w:p>
            <w:pPr>
              <w:spacing w:after="0"/>
              <w:rPr>
                <w:sz w:val="17"/>
                <w:szCs w:val="17"/>
                <w:color w:val="auto"/>
              </w:rPr>
            </w:pPr>
          </w:p>
        </w:tc>
        <w:tc>
          <w:tcPr>
            <w:tcW w:w="100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3.3</w:t>
            </w:r>
          </w:p>
        </w:tc>
        <w:tc>
          <w:tcPr>
            <w:tcW w:w="122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1.0</w:t>
            </w:r>
          </w:p>
        </w:tc>
        <w:tc>
          <w:tcPr>
            <w:tcW w:w="1400" w:type="dxa"/>
            <w:vAlign w:val="bottom"/>
          </w:tcPr>
          <w:p>
            <w:pPr>
              <w:jc w:val="right"/>
              <w:ind w:right="483"/>
              <w:spacing w:after="0"/>
              <w:rPr>
                <w:sz w:val="20"/>
                <w:szCs w:val="20"/>
                <w:color w:val="auto"/>
              </w:rPr>
            </w:pPr>
            <w:r>
              <w:rPr>
                <w:rFonts w:ascii="Times New Roman" w:cs="Times New Roman" w:eastAsia="Times New Roman" w:hAnsi="Times New Roman"/>
                <w:sz w:val="16"/>
                <w:szCs w:val="16"/>
                <w:b w:val="1"/>
                <w:bCs w:val="1"/>
                <w:color w:val="auto"/>
              </w:rPr>
              <w:t>0.6</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Flooring ROW</w:t>
            </w:r>
          </w:p>
        </w:tc>
        <w:tc>
          <w:tcPr>
            <w:tcW w:w="1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(1.0)</w:t>
            </w:r>
          </w:p>
        </w:tc>
        <w:tc>
          <w:tcPr>
            <w:tcW w:w="122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(0.4)</w:t>
            </w:r>
          </w:p>
        </w:tc>
        <w:tc>
          <w:tcPr>
            <w:tcW w:w="1400" w:type="dxa"/>
            <w:vAlign w:val="bottom"/>
            <w:tcBorders>
              <w:bottom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6"/>
                <w:szCs w:val="16"/>
                <w:b w:val="1"/>
                <w:bCs w:val="1"/>
                <w:color w:val="auto"/>
              </w:rPr>
              <w:t>1.0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restructuring costs</w:t>
            </w:r>
          </w:p>
        </w:tc>
        <w:tc>
          <w:tcPr>
            <w:tcW w:w="1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0.1</w:t>
            </w:r>
          </w:p>
        </w:tc>
        <w:tc>
          <w:tcPr>
            <w:tcW w:w="14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3.3</w:t>
            </w:r>
          </w:p>
        </w:tc>
        <w:tc>
          <w:tcPr>
            <w:tcW w:w="12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(0.4)</w:t>
            </w:r>
          </w:p>
        </w:tc>
        <w:tc>
          <w:tcPr>
            <w:tcW w:w="14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auto"/>
              </w:rPr>
              <w:t>9.3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payments</w:t>
            </w: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shd w:val="clear" w:color="auto" w:fill="CCEEFF"/>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4.7</w:t>
            </w:r>
          </w:p>
        </w:tc>
        <w:tc>
          <w:tcPr>
            <w:tcW w:w="122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(3.8)</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(1.8)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Non-cash items</w:t>
            </w:r>
          </w:p>
        </w:tc>
        <w:tc>
          <w:tcPr>
            <w:tcW w:w="1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(0.1)</w:t>
            </w:r>
          </w:p>
        </w:tc>
        <w:tc>
          <w:tcPr>
            <w:tcW w:w="14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(8.0)</w:t>
            </w:r>
          </w:p>
        </w:tc>
        <w:tc>
          <w:tcPr>
            <w:tcW w:w="12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(0.5)</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(7.5)</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 2026</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bottom w:val="single" w:sz="8" w:color="auto"/>
            </w:tcBorders>
            <w:shd w:val="clear" w:color="auto" w:fill="CCEEFF"/>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16.4</w:t>
            </w:r>
          </w:p>
        </w:tc>
        <w:tc>
          <w:tcPr>
            <w:tcW w:w="1400" w:type="dxa"/>
            <w:vAlign w:val="bottom"/>
            <w:tcBorders>
              <w:bottom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costs recorded in:</w:t>
            </w: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0.1</w:t>
            </w:r>
          </w:p>
        </w:tc>
        <w:tc>
          <w:tcPr>
            <w:tcW w:w="1480" w:type="dxa"/>
            <w:vAlign w:val="bottom"/>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w:t>
            </w:r>
          </w:p>
        </w:tc>
        <w:tc>
          <w:tcPr>
            <w:tcW w:w="122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(0.3)</w:t>
            </w:r>
          </w:p>
        </w:tc>
        <w:tc>
          <w:tcPr>
            <w:tcW w:w="1400" w:type="dxa"/>
            <w:vAlign w:val="bottom"/>
          </w:tcPr>
          <w:p>
            <w:pPr>
              <w:jc w:val="right"/>
              <w:ind w:right="483"/>
              <w:spacing w:after="0"/>
              <w:rPr>
                <w:sz w:val="20"/>
                <w:szCs w:val="20"/>
                <w:color w:val="auto"/>
              </w:rPr>
            </w:pPr>
            <w:r>
              <w:rPr>
                <w:rFonts w:ascii="Times New Roman" w:cs="Times New Roman" w:eastAsia="Times New Roman" w:hAnsi="Times New Roman"/>
                <w:sz w:val="16"/>
                <w:szCs w:val="16"/>
                <w:b w:val="1"/>
                <w:bCs w:val="1"/>
                <w:color w:val="auto"/>
              </w:rPr>
              <w:t>8.6</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bottom w:val="single" w:sz="8" w:color="auto"/>
            </w:tcBorders>
            <w:shd w:val="clear" w:color="auto" w:fill="CCEEFF"/>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1.3</w:t>
            </w:r>
          </w:p>
        </w:tc>
        <w:tc>
          <w:tcPr>
            <w:tcW w:w="122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(0.1)</w:t>
            </w:r>
          </w:p>
        </w:tc>
        <w:tc>
          <w:tcPr>
            <w:tcW w:w="1400" w:type="dxa"/>
            <w:vAlign w:val="bottom"/>
            <w:tcBorders>
              <w:bottom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6"/>
                <w:szCs w:val="16"/>
                <w:b w:val="1"/>
                <w:bCs w:val="1"/>
                <w:color w:val="auto"/>
              </w:rPr>
              <w:t>0.7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restructuring costs</w:t>
            </w: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0.1</w:t>
            </w:r>
          </w:p>
        </w:tc>
        <w:tc>
          <w:tcPr>
            <w:tcW w:w="14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3.3</w:t>
            </w:r>
          </w:p>
        </w:tc>
        <w:tc>
          <w:tcPr>
            <w:tcW w:w="12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(0.4)</w:t>
            </w:r>
          </w:p>
        </w:tc>
        <w:tc>
          <w:tcPr>
            <w:tcW w:w="14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auto"/>
              </w:rPr>
              <w:t>9.3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5"/>
        </w:trPr>
        <w:tc>
          <w:tcPr>
            <w:tcW w:w="7620" w:type="dxa"/>
            <w:vAlign w:val="bottom"/>
            <w:gridSpan w:val="4"/>
          </w:tcPr>
          <w:p>
            <w:pPr>
              <w:ind w:left="580"/>
              <w:spacing w:after="0"/>
              <w:rPr>
                <w:sz w:val="20"/>
                <w:szCs w:val="20"/>
                <w:color w:val="auto"/>
              </w:rPr>
            </w:pPr>
            <w:r>
              <w:rPr>
                <w:rFonts w:ascii="Times New Roman" w:cs="Times New Roman" w:eastAsia="Times New Roman" w:hAnsi="Times New Roman"/>
                <w:sz w:val="16"/>
                <w:szCs w:val="16"/>
                <w:color w:val="auto"/>
              </w:rPr>
              <w:t>The following table summarizes the restructuring activities for the nine months ended October 3, 2026:</w:t>
            </w: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3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vMerge w:val="restart"/>
          </w:tcPr>
          <w:p>
            <w:pPr>
              <w:jc w:val="right"/>
              <w:ind w:right="22"/>
              <w:spacing w:after="0"/>
              <w:rPr>
                <w:sz w:val="20"/>
                <w:szCs w:val="20"/>
                <w:color w:val="auto"/>
              </w:rPr>
            </w:pPr>
            <w:r>
              <w:rPr>
                <w:rFonts w:ascii="Times New Roman" w:cs="Times New Roman" w:eastAsia="Times New Roman" w:hAnsi="Times New Roman"/>
                <w:sz w:val="13"/>
                <w:szCs w:val="13"/>
                <w:color w:val="auto"/>
              </w:rPr>
              <w:t>Lease</w:t>
            </w:r>
          </w:p>
        </w:tc>
        <w:tc>
          <w:tcPr>
            <w:tcW w:w="1480" w:type="dxa"/>
            <w:vAlign w:val="bottom"/>
          </w:tcPr>
          <w:p>
            <w:pPr>
              <w:jc w:val="right"/>
              <w:ind w:right="223"/>
              <w:spacing w:after="0"/>
              <w:rPr>
                <w:sz w:val="20"/>
                <w:szCs w:val="20"/>
                <w:color w:val="auto"/>
              </w:rPr>
            </w:pPr>
            <w:r>
              <w:rPr>
                <w:rFonts w:ascii="Times New Roman" w:cs="Times New Roman" w:eastAsia="Times New Roman" w:hAnsi="Times New Roman"/>
                <w:sz w:val="13"/>
                <w:szCs w:val="13"/>
                <w:color w:val="auto"/>
              </w:rPr>
              <w:t>Asset write-downs</w:t>
            </w:r>
          </w:p>
        </w:tc>
        <w:tc>
          <w:tcPr>
            <w:tcW w:w="1220" w:type="dxa"/>
            <w:vAlign w:val="bottom"/>
          </w:tcPr>
          <w:p>
            <w:pPr>
              <w:spacing w:after="0"/>
              <w:rPr>
                <w:sz w:val="24"/>
                <w:szCs w:val="24"/>
                <w:color w:val="auto"/>
              </w:rPr>
            </w:pPr>
          </w:p>
        </w:tc>
        <w:tc>
          <w:tcPr>
            <w:tcW w:w="1400" w:type="dxa"/>
            <w:vAlign w:val="bottom"/>
          </w:tcPr>
          <w:p>
            <w:pPr>
              <w:jc w:val="right"/>
              <w:ind w:right="303"/>
              <w:spacing w:after="0"/>
              <w:rPr>
                <w:sz w:val="20"/>
                <w:szCs w:val="20"/>
                <w:color w:val="auto"/>
              </w:rPr>
            </w:pPr>
            <w:r>
              <w:rPr>
                <w:rFonts w:ascii="Times New Roman" w:cs="Times New Roman" w:eastAsia="Times New Roman" w:hAnsi="Times New Roman"/>
                <w:sz w:val="13"/>
                <w:szCs w:val="13"/>
                <w:color w:val="auto"/>
              </w:rPr>
              <w:t>Other</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(In millions)</w:t>
            </w:r>
          </w:p>
        </w:tc>
        <w:tc>
          <w:tcPr>
            <w:tcW w:w="1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480" w:type="dxa"/>
            <w:vAlign w:val="bottom"/>
          </w:tcPr>
          <w:p>
            <w:pPr>
              <w:jc w:val="right"/>
              <w:ind w:right="223"/>
              <w:spacing w:after="0" w:line="134" w:lineRule="exact"/>
              <w:rPr>
                <w:sz w:val="20"/>
                <w:szCs w:val="20"/>
                <w:color w:val="auto"/>
              </w:rPr>
            </w:pPr>
            <w:r>
              <w:rPr>
                <w:rFonts w:ascii="Times New Roman" w:cs="Times New Roman" w:eastAsia="Times New Roman" w:hAnsi="Times New Roman"/>
                <w:sz w:val="13"/>
                <w:szCs w:val="13"/>
                <w:color w:val="auto"/>
              </w:rPr>
              <w:t>and gains on</w:t>
            </w:r>
          </w:p>
        </w:tc>
        <w:tc>
          <w:tcPr>
            <w:tcW w:w="1220" w:type="dxa"/>
            <w:vAlign w:val="bottom"/>
            <w:vMerge w:val="restart"/>
          </w:tcPr>
          <w:p>
            <w:pPr>
              <w:jc w:val="right"/>
              <w:ind w:right="161"/>
              <w:spacing w:after="0"/>
              <w:rPr>
                <w:sz w:val="20"/>
                <w:szCs w:val="20"/>
                <w:color w:val="auto"/>
              </w:rPr>
            </w:pPr>
            <w:r>
              <w:rPr>
                <w:rFonts w:ascii="Times New Roman" w:cs="Times New Roman" w:eastAsia="Times New Roman" w:hAnsi="Times New Roman"/>
                <w:sz w:val="13"/>
                <w:szCs w:val="13"/>
                <w:color w:val="auto"/>
              </w:rPr>
              <w:t>Severance</w:t>
            </w:r>
          </w:p>
        </w:tc>
        <w:tc>
          <w:tcPr>
            <w:tcW w:w="1400" w:type="dxa"/>
            <w:vAlign w:val="bottom"/>
          </w:tcPr>
          <w:p>
            <w:pPr>
              <w:jc w:val="right"/>
              <w:ind w:right="303"/>
              <w:spacing w:after="0" w:line="134" w:lineRule="exact"/>
              <w:rPr>
                <w:sz w:val="20"/>
                <w:szCs w:val="20"/>
                <w:color w:val="auto"/>
              </w:rPr>
            </w:pPr>
            <w:r>
              <w:rPr>
                <w:rFonts w:ascii="Times New Roman" w:cs="Times New Roman" w:eastAsia="Times New Roman" w:hAnsi="Times New Roman"/>
                <w:sz w:val="13"/>
                <w:szCs w:val="13"/>
                <w:color w:val="auto"/>
              </w:rPr>
              <w:t>restructuring</w:t>
            </w:r>
          </w:p>
        </w:tc>
        <w:tc>
          <w:tcPr>
            <w:tcW w:w="1020" w:type="dxa"/>
            <w:vAlign w:val="bottom"/>
            <w:gridSpan w:val="3"/>
            <w:vMerge w:val="restart"/>
          </w:tcPr>
          <w:p>
            <w:pPr>
              <w:ind w:left="640"/>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72"/>
        </w:trPr>
        <w:tc>
          <w:tcPr>
            <w:tcW w:w="392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3"/>
                <w:szCs w:val="13"/>
                <w:color w:val="auto"/>
              </w:rPr>
              <w:t>impairments</w:t>
            </w:r>
          </w:p>
        </w:tc>
        <w:tc>
          <w:tcPr>
            <w:tcW w:w="1480" w:type="dxa"/>
            <w:vAlign w:val="bottom"/>
          </w:tcPr>
          <w:p>
            <w:pPr>
              <w:jc w:val="right"/>
              <w:ind w:right="223"/>
              <w:spacing w:after="0"/>
              <w:rPr>
                <w:sz w:val="20"/>
                <w:szCs w:val="20"/>
                <w:color w:val="auto"/>
              </w:rPr>
            </w:pPr>
            <w:r>
              <w:rPr>
                <w:rFonts w:ascii="Times New Roman" w:cs="Times New Roman" w:eastAsia="Times New Roman" w:hAnsi="Times New Roman"/>
                <w:sz w:val="13"/>
                <w:szCs w:val="13"/>
                <w:color w:val="auto"/>
              </w:rPr>
              <w:t>disposals</w:t>
            </w:r>
          </w:p>
        </w:tc>
        <w:tc>
          <w:tcPr>
            <w:tcW w:w="1220" w:type="dxa"/>
            <w:vAlign w:val="bottom"/>
            <w:vMerge w:val="continue"/>
          </w:tcPr>
          <w:p>
            <w:pPr>
              <w:spacing w:after="0"/>
              <w:rPr>
                <w:sz w:val="14"/>
                <w:szCs w:val="14"/>
                <w:color w:val="auto"/>
              </w:rPr>
            </w:pPr>
          </w:p>
        </w:tc>
        <w:tc>
          <w:tcPr>
            <w:tcW w:w="1400" w:type="dxa"/>
            <w:vAlign w:val="bottom"/>
          </w:tcPr>
          <w:p>
            <w:pPr>
              <w:jc w:val="right"/>
              <w:ind w:right="303"/>
              <w:spacing w:after="0"/>
              <w:rPr>
                <w:sz w:val="20"/>
                <w:szCs w:val="20"/>
                <w:color w:val="auto"/>
              </w:rPr>
            </w:pPr>
            <w:r>
              <w:rPr>
                <w:rFonts w:ascii="Times New Roman" w:cs="Times New Roman" w:eastAsia="Times New Roman" w:hAnsi="Times New Roman"/>
                <w:sz w:val="13"/>
                <w:szCs w:val="13"/>
                <w:color w:val="auto"/>
              </w:rPr>
              <w:t>costs</w:t>
            </w: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2025</w:t>
            </w:r>
          </w:p>
        </w:tc>
        <w:tc>
          <w:tcPr>
            <w:tcW w:w="1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top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Borders>
              <w:top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27.2</w:t>
            </w:r>
          </w:p>
        </w:tc>
        <w:tc>
          <w:tcPr>
            <w:tcW w:w="1400" w:type="dxa"/>
            <w:vAlign w:val="bottom"/>
            <w:tcBorders>
              <w:top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top w:val="single" w:sz="8" w:color="auto"/>
            </w:tcBorders>
            <w:gridSpan w:val="2"/>
            <w:shd w:val="clear" w:color="auto" w:fill="CCEEFF"/>
          </w:tcPr>
          <w:p>
            <w:pPr>
              <w:jc w:val="center"/>
              <w:ind w:left="401"/>
              <w:spacing w:after="0"/>
              <w:rPr>
                <w:sz w:val="20"/>
                <w:szCs w:val="20"/>
                <w:color w:val="auto"/>
              </w:rPr>
            </w:pPr>
            <w:r>
              <w:rPr>
                <w:rFonts w:ascii="Times New Roman" w:cs="Times New Roman" w:eastAsia="Times New Roman" w:hAnsi="Times New Roman"/>
                <w:sz w:val="16"/>
                <w:szCs w:val="16"/>
                <w:b w:val="1"/>
                <w:bCs w:val="1"/>
                <w:color w:val="auto"/>
                <w:w w:val="99"/>
              </w:rPr>
              <w:t>27.2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costs</w:t>
            </w: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Global Ceramic</w:t>
            </w: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3.8</w:t>
            </w:r>
          </w:p>
        </w:tc>
        <w:tc>
          <w:tcPr>
            <w:tcW w:w="148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4.2</w:t>
            </w:r>
          </w:p>
        </w:tc>
        <w:tc>
          <w:tcPr>
            <w:tcW w:w="12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(0.5)</w:t>
            </w:r>
          </w:p>
        </w:tc>
        <w:tc>
          <w:tcPr>
            <w:tcW w:w="140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8.7</w:t>
            </w:r>
          </w:p>
        </w:tc>
        <w:tc>
          <w:tcPr>
            <w:tcW w:w="920" w:type="dxa"/>
            <w:vAlign w:val="bottom"/>
            <w:gridSpan w:val="2"/>
            <w:shd w:val="clear" w:color="auto" w:fill="CCEEFF"/>
          </w:tcPr>
          <w:p>
            <w:pPr>
              <w:jc w:val="center"/>
              <w:ind w:left="401"/>
              <w:spacing w:after="0"/>
              <w:rPr>
                <w:sz w:val="20"/>
                <w:szCs w:val="20"/>
                <w:color w:val="auto"/>
              </w:rPr>
            </w:pPr>
            <w:r>
              <w:rPr>
                <w:rFonts w:ascii="Times New Roman" w:cs="Times New Roman" w:eastAsia="Times New Roman" w:hAnsi="Times New Roman"/>
                <w:sz w:val="16"/>
                <w:szCs w:val="16"/>
                <w:b w:val="1"/>
                <w:bCs w:val="1"/>
                <w:color w:val="auto"/>
                <w:w w:val="99"/>
              </w:rPr>
              <w:t>16.2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Flooring NA</w:t>
            </w:r>
          </w:p>
        </w:tc>
        <w:tc>
          <w:tcPr>
            <w:tcW w:w="1220" w:type="dxa"/>
            <w:vAlign w:val="bottom"/>
          </w:tcPr>
          <w:p>
            <w:pPr>
              <w:spacing w:after="0"/>
              <w:rPr>
                <w:sz w:val="17"/>
                <w:szCs w:val="17"/>
                <w:color w:val="auto"/>
              </w:rPr>
            </w:pP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39.2</w:t>
            </w:r>
          </w:p>
        </w:tc>
        <w:tc>
          <w:tcPr>
            <w:tcW w:w="122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1.6</w:t>
            </w:r>
          </w:p>
        </w:tc>
        <w:tc>
          <w:tcPr>
            <w:tcW w:w="1400" w:type="dxa"/>
            <w:vAlign w:val="bottom"/>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8.7</w:t>
            </w:r>
          </w:p>
        </w:tc>
        <w:tc>
          <w:tcPr>
            <w:tcW w:w="920" w:type="dxa"/>
            <w:vAlign w:val="bottom"/>
            <w:gridSpan w:val="2"/>
          </w:tcPr>
          <w:p>
            <w:pPr>
              <w:jc w:val="center"/>
              <w:ind w:left="401"/>
              <w:spacing w:after="0"/>
              <w:rPr>
                <w:sz w:val="20"/>
                <w:szCs w:val="20"/>
                <w:color w:val="auto"/>
              </w:rPr>
            </w:pPr>
            <w:r>
              <w:rPr>
                <w:rFonts w:ascii="Times New Roman" w:cs="Times New Roman" w:eastAsia="Times New Roman" w:hAnsi="Times New Roman"/>
                <w:sz w:val="16"/>
                <w:szCs w:val="16"/>
                <w:b w:val="1"/>
                <w:bCs w:val="1"/>
                <w:color w:val="auto"/>
                <w:w w:val="99"/>
              </w:rPr>
              <w:t>49.5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Flooring ROW</w:t>
            </w:r>
          </w:p>
        </w:tc>
        <w:tc>
          <w:tcPr>
            <w:tcW w:w="1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10.0</w:t>
            </w:r>
          </w:p>
        </w:tc>
        <w:tc>
          <w:tcPr>
            <w:tcW w:w="122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8.8</w:t>
            </w:r>
          </w:p>
        </w:tc>
        <w:tc>
          <w:tcPr>
            <w:tcW w:w="1400" w:type="dxa"/>
            <w:vAlign w:val="bottom"/>
            <w:tcBorders>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3.9</w:t>
            </w:r>
          </w:p>
        </w:tc>
        <w:tc>
          <w:tcPr>
            <w:tcW w:w="920" w:type="dxa"/>
            <w:vAlign w:val="bottom"/>
            <w:tcBorders>
              <w:bottom w:val="single" w:sz="8" w:color="auto"/>
            </w:tcBorders>
            <w:gridSpan w:val="2"/>
            <w:shd w:val="clear" w:color="auto" w:fill="CCEEFF"/>
          </w:tcPr>
          <w:p>
            <w:pPr>
              <w:jc w:val="center"/>
              <w:ind w:left="401"/>
              <w:spacing w:after="0"/>
              <w:rPr>
                <w:sz w:val="20"/>
                <w:szCs w:val="20"/>
                <w:color w:val="auto"/>
              </w:rPr>
            </w:pPr>
            <w:r>
              <w:rPr>
                <w:rFonts w:ascii="Times New Roman" w:cs="Times New Roman" w:eastAsia="Times New Roman" w:hAnsi="Times New Roman"/>
                <w:sz w:val="16"/>
                <w:szCs w:val="16"/>
                <w:b w:val="1"/>
                <w:bCs w:val="1"/>
                <w:color w:val="auto"/>
                <w:w w:val="99"/>
              </w:rPr>
              <w:t>22.7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restructuring costs</w:t>
            </w:r>
          </w:p>
        </w:tc>
        <w:tc>
          <w:tcPr>
            <w:tcW w:w="1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3.8</w:t>
            </w:r>
          </w:p>
        </w:tc>
        <w:tc>
          <w:tcPr>
            <w:tcW w:w="14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53.4</w:t>
            </w:r>
          </w:p>
        </w:tc>
        <w:tc>
          <w:tcPr>
            <w:tcW w:w="12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9.9</w:t>
            </w:r>
          </w:p>
        </w:tc>
        <w:tc>
          <w:tcPr>
            <w:tcW w:w="14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21.3</w:t>
            </w:r>
          </w:p>
        </w:tc>
        <w:tc>
          <w:tcPr>
            <w:tcW w:w="920" w:type="dxa"/>
            <w:vAlign w:val="bottom"/>
            <w:tcBorders>
              <w:bottom w:val="single" w:sz="8" w:color="auto"/>
            </w:tcBorders>
            <w:gridSpan w:val="2"/>
          </w:tcPr>
          <w:p>
            <w:pPr>
              <w:jc w:val="center"/>
              <w:ind w:left="401"/>
              <w:spacing w:after="0"/>
              <w:rPr>
                <w:sz w:val="20"/>
                <w:szCs w:val="20"/>
                <w:color w:val="auto"/>
              </w:rPr>
            </w:pPr>
            <w:r>
              <w:rPr>
                <w:rFonts w:ascii="Times New Roman" w:cs="Times New Roman" w:eastAsia="Times New Roman" w:hAnsi="Times New Roman"/>
                <w:sz w:val="16"/>
                <w:szCs w:val="16"/>
                <w:b w:val="1"/>
                <w:bCs w:val="1"/>
                <w:color w:val="auto"/>
                <w:w w:val="99"/>
              </w:rPr>
              <w:t>88.4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proceeds (payments)</w:t>
            </w: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11.6</w:t>
            </w:r>
          </w:p>
        </w:tc>
        <w:tc>
          <w:tcPr>
            <w:tcW w:w="12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(19.7)</w:t>
            </w:r>
          </w:p>
        </w:tc>
        <w:tc>
          <w:tcPr>
            <w:tcW w:w="140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(13.2)</w:t>
            </w:r>
          </w:p>
        </w:tc>
        <w:tc>
          <w:tcPr>
            <w:tcW w:w="920" w:type="dxa"/>
            <w:vAlign w:val="bottom"/>
            <w:gridSpan w:val="2"/>
            <w:shd w:val="clear" w:color="auto" w:fill="CCEEFF"/>
          </w:tcPr>
          <w:p>
            <w:pPr>
              <w:jc w:val="center"/>
              <w:ind w:left="381"/>
              <w:spacing w:after="0"/>
              <w:rPr>
                <w:sz w:val="20"/>
                <w:szCs w:val="20"/>
                <w:color w:val="auto"/>
              </w:rPr>
            </w:pPr>
            <w:r>
              <w:rPr>
                <w:rFonts w:ascii="Times New Roman" w:cs="Times New Roman" w:eastAsia="Times New Roman" w:hAnsi="Times New Roman"/>
                <w:sz w:val="16"/>
                <w:szCs w:val="16"/>
                <w:b w:val="1"/>
                <w:bCs w:val="1"/>
                <w:color w:val="auto"/>
                <w:w w:val="98"/>
              </w:rPr>
              <w:t>(21.3)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Non-cash (expense) income</w:t>
            </w:r>
          </w:p>
        </w:tc>
        <w:tc>
          <w:tcPr>
            <w:tcW w:w="1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(3.8)</w:t>
            </w:r>
          </w:p>
        </w:tc>
        <w:tc>
          <w:tcPr>
            <w:tcW w:w="14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(65.0)</w:t>
            </w:r>
          </w:p>
        </w:tc>
        <w:tc>
          <w:tcPr>
            <w:tcW w:w="12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(1.0)</w:t>
            </w:r>
          </w:p>
        </w:tc>
        <w:tc>
          <w:tcPr>
            <w:tcW w:w="14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(8.1)</w:t>
            </w:r>
          </w:p>
        </w:tc>
        <w:tc>
          <w:tcPr>
            <w:tcW w:w="920" w:type="dxa"/>
            <w:vAlign w:val="bottom"/>
            <w:tcBorders>
              <w:bottom w:val="single" w:sz="8" w:color="auto"/>
            </w:tcBorders>
            <w:gridSpan w:val="2"/>
          </w:tcPr>
          <w:p>
            <w:pPr>
              <w:jc w:val="center"/>
              <w:ind w:left="381"/>
              <w:spacing w:after="0"/>
              <w:rPr>
                <w:sz w:val="20"/>
                <w:szCs w:val="20"/>
                <w:color w:val="auto"/>
              </w:rPr>
            </w:pPr>
            <w:r>
              <w:rPr>
                <w:rFonts w:ascii="Times New Roman" w:cs="Times New Roman" w:eastAsia="Times New Roman" w:hAnsi="Times New Roman"/>
                <w:sz w:val="16"/>
                <w:szCs w:val="16"/>
                <w:b w:val="1"/>
                <w:bCs w:val="1"/>
                <w:color w:val="auto"/>
                <w:w w:val="98"/>
              </w:rPr>
              <w:t>(77.9)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 2026</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16.4</w:t>
            </w:r>
          </w:p>
        </w:tc>
        <w:tc>
          <w:tcPr>
            <w:tcW w:w="1400" w:type="dxa"/>
            <w:vAlign w:val="bottom"/>
            <w:tcBorders>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auto"/>
            </w:tcBorders>
            <w:gridSpan w:val="2"/>
            <w:shd w:val="clear" w:color="auto" w:fill="CCEEFF"/>
          </w:tcPr>
          <w:p>
            <w:pPr>
              <w:jc w:val="center"/>
              <w:ind w:left="401"/>
              <w:spacing w:after="0"/>
              <w:rPr>
                <w:sz w:val="20"/>
                <w:szCs w:val="20"/>
                <w:color w:val="auto"/>
              </w:rPr>
            </w:pPr>
            <w:r>
              <w:rPr>
                <w:rFonts w:ascii="Times New Roman" w:cs="Times New Roman" w:eastAsia="Times New Roman" w:hAnsi="Times New Roman"/>
                <w:sz w:val="16"/>
                <w:szCs w:val="16"/>
                <w:b w:val="1"/>
                <w:bCs w:val="1"/>
                <w:color w:val="auto"/>
                <w:w w:val="99"/>
              </w:rPr>
              <w:t>16.4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costs recorded in:</w:t>
            </w: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3.8</w:t>
            </w:r>
          </w:p>
        </w:tc>
        <w:tc>
          <w:tcPr>
            <w:tcW w:w="1480" w:type="dxa"/>
            <w:vAlign w:val="bottom"/>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49.2</w:t>
            </w:r>
          </w:p>
        </w:tc>
        <w:tc>
          <w:tcPr>
            <w:tcW w:w="122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0.5</w:t>
            </w:r>
          </w:p>
        </w:tc>
        <w:tc>
          <w:tcPr>
            <w:tcW w:w="1400" w:type="dxa"/>
            <w:vAlign w:val="bottom"/>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18.7</w:t>
            </w:r>
          </w:p>
        </w:tc>
        <w:tc>
          <w:tcPr>
            <w:tcW w:w="920" w:type="dxa"/>
            <w:vAlign w:val="bottom"/>
            <w:gridSpan w:val="2"/>
          </w:tcPr>
          <w:p>
            <w:pPr>
              <w:jc w:val="center"/>
              <w:ind w:left="401"/>
              <w:spacing w:after="0"/>
              <w:rPr>
                <w:sz w:val="20"/>
                <w:szCs w:val="20"/>
                <w:color w:val="auto"/>
              </w:rPr>
            </w:pPr>
            <w:r>
              <w:rPr>
                <w:rFonts w:ascii="Times New Roman" w:cs="Times New Roman" w:eastAsia="Times New Roman" w:hAnsi="Times New Roman"/>
                <w:sz w:val="16"/>
                <w:szCs w:val="16"/>
                <w:b w:val="1"/>
                <w:bCs w:val="1"/>
                <w:color w:val="auto"/>
                <w:w w:val="99"/>
              </w:rPr>
              <w:t>72.2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4.2</w:t>
            </w:r>
          </w:p>
        </w:tc>
        <w:tc>
          <w:tcPr>
            <w:tcW w:w="122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9.4</w:t>
            </w:r>
          </w:p>
        </w:tc>
        <w:tc>
          <w:tcPr>
            <w:tcW w:w="1400" w:type="dxa"/>
            <w:vAlign w:val="bottom"/>
            <w:tcBorders>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2.6</w:t>
            </w:r>
          </w:p>
        </w:tc>
        <w:tc>
          <w:tcPr>
            <w:tcW w:w="920" w:type="dxa"/>
            <w:vAlign w:val="bottom"/>
            <w:tcBorders>
              <w:bottom w:val="single" w:sz="8" w:color="auto"/>
            </w:tcBorders>
            <w:gridSpan w:val="2"/>
            <w:shd w:val="clear" w:color="auto" w:fill="CCEEFF"/>
          </w:tcPr>
          <w:p>
            <w:pPr>
              <w:jc w:val="center"/>
              <w:ind w:left="401"/>
              <w:spacing w:after="0"/>
              <w:rPr>
                <w:sz w:val="20"/>
                <w:szCs w:val="20"/>
                <w:color w:val="auto"/>
              </w:rPr>
            </w:pPr>
            <w:r>
              <w:rPr>
                <w:rFonts w:ascii="Times New Roman" w:cs="Times New Roman" w:eastAsia="Times New Roman" w:hAnsi="Times New Roman"/>
                <w:sz w:val="16"/>
                <w:szCs w:val="16"/>
                <w:b w:val="1"/>
                <w:bCs w:val="1"/>
                <w:color w:val="auto"/>
                <w:w w:val="99"/>
              </w:rPr>
              <w:t>16.2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restructuring costs</w:t>
            </w: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3.8</w:t>
            </w:r>
          </w:p>
        </w:tc>
        <w:tc>
          <w:tcPr>
            <w:tcW w:w="14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53.4</w:t>
            </w:r>
          </w:p>
        </w:tc>
        <w:tc>
          <w:tcPr>
            <w:tcW w:w="12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9.9</w:t>
            </w:r>
          </w:p>
        </w:tc>
        <w:tc>
          <w:tcPr>
            <w:tcW w:w="14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21.3</w:t>
            </w:r>
          </w:p>
        </w:tc>
        <w:tc>
          <w:tcPr>
            <w:tcW w:w="920" w:type="dxa"/>
            <w:vAlign w:val="bottom"/>
            <w:tcBorders>
              <w:bottom w:val="single" w:sz="8" w:color="auto"/>
            </w:tcBorders>
            <w:gridSpan w:val="2"/>
          </w:tcPr>
          <w:p>
            <w:pPr>
              <w:jc w:val="center"/>
              <w:ind w:left="401"/>
              <w:spacing w:after="0"/>
              <w:rPr>
                <w:sz w:val="20"/>
                <w:szCs w:val="20"/>
                <w:color w:val="auto"/>
              </w:rPr>
            </w:pPr>
            <w:r>
              <w:rPr>
                <w:rFonts w:ascii="Times New Roman" w:cs="Times New Roman" w:eastAsia="Times New Roman" w:hAnsi="Times New Roman"/>
                <w:sz w:val="16"/>
                <w:szCs w:val="16"/>
                <w:b w:val="1"/>
                <w:bCs w:val="1"/>
                <w:color w:val="auto"/>
                <w:w w:val="99"/>
              </w:rPr>
              <w:t>88.4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1"/>
        </w:trPr>
        <w:tc>
          <w:tcPr>
            <w:tcW w:w="3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14</w:t>
            </w: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39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-27305</wp:posOffset>
            </wp:positionV>
            <wp:extent cx="3302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14" w:name="page15"/>
    <w:bookmarkEnd w:id="14"/>
    <w:p>
      <w:pPr>
        <w:ind w:left="3"/>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ind w:left="3" w:right="20" w:firstLine="582"/>
        <w:spacing w:after="0" w:line="334" w:lineRule="auto"/>
        <w:rPr>
          <w:sz w:val="20"/>
          <w:szCs w:val="20"/>
          <w:color w:val="auto"/>
        </w:rPr>
      </w:pPr>
      <w:r>
        <w:rPr>
          <w:rFonts w:ascii="Times New Roman" w:cs="Times New Roman" w:eastAsia="Times New Roman" w:hAnsi="Times New Roman"/>
          <w:sz w:val="16"/>
          <w:szCs w:val="16"/>
          <w:color w:val="auto"/>
        </w:rPr>
        <w:t>The Company currently estimates that it will incur additional restructuring costs of approximately $20 to $30 million primarily related to asset disposals and other restructuring related costs, which are expected to be executed throughout the remainder of 2026 and into 2027.</w:t>
      </w:r>
    </w:p>
    <w:p>
      <w:pPr>
        <w:spacing w:after="0" w:line="179" w:lineRule="exact"/>
        <w:rPr>
          <w:sz w:val="20"/>
          <w:szCs w:val="20"/>
          <w:color w:val="auto"/>
        </w:rPr>
      </w:pPr>
    </w:p>
    <w:p>
      <w:pPr>
        <w:jc w:val="both"/>
        <w:ind w:left="3" w:right="20" w:firstLine="582"/>
        <w:spacing w:after="0" w:line="318" w:lineRule="auto"/>
        <w:rPr>
          <w:sz w:val="20"/>
          <w:szCs w:val="20"/>
          <w:color w:val="auto"/>
        </w:rPr>
      </w:pPr>
      <w:r>
        <w:rPr>
          <w:rFonts w:ascii="Times New Roman" w:cs="Times New Roman" w:eastAsia="Times New Roman" w:hAnsi="Times New Roman"/>
          <w:sz w:val="16"/>
          <w:szCs w:val="16"/>
          <w:color w:val="auto"/>
        </w:rPr>
        <w:t>As of October 3, 2026, the accrual balance related to restructuring activities was $0.7 million for plans approved during 2024, $6.8 million for plans approved during 2025 and $8.9 million for plans approved during 2026.</w:t>
      </w:r>
    </w:p>
    <w:p>
      <w:pPr>
        <w:spacing w:after="0" w:line="192" w:lineRule="exact"/>
        <w:rPr>
          <w:sz w:val="20"/>
          <w:szCs w:val="20"/>
          <w:color w:val="auto"/>
        </w:rPr>
      </w:pPr>
    </w:p>
    <w:p>
      <w:pPr>
        <w:jc w:val="both"/>
        <w:ind w:left="3" w:right="20" w:firstLine="582"/>
        <w:spacing w:after="0" w:line="309" w:lineRule="auto"/>
        <w:rPr>
          <w:sz w:val="20"/>
          <w:szCs w:val="20"/>
          <w:color w:val="auto"/>
        </w:rPr>
      </w:pPr>
      <w:r>
        <w:rPr>
          <w:rFonts w:ascii="Times New Roman" w:cs="Times New Roman" w:eastAsia="Times New Roman" w:hAnsi="Times New Roman"/>
          <w:sz w:val="16"/>
          <w:szCs w:val="16"/>
          <w:color w:val="auto"/>
        </w:rPr>
        <w:t>For the plans approved prior to 2024, restructuring expenses of $(0.1) million and $1.0 million were recorded during the three and nine months ended October 3, 2026, respectively. For the plans approved during 2024, restructuring expenses of $(0.4) million and $11.1 million were recorded during the three and nine months ended October 3, 2026, respectively. For the plans approved during 2025, restructuring expenses of $11.4 million and $50.3 million were recorded during the three and nine months</w:t>
      </w:r>
    </w:p>
    <w:p>
      <w:pPr>
        <w:spacing w:after="0" w:line="5" w:lineRule="exact"/>
        <w:rPr>
          <w:sz w:val="20"/>
          <w:szCs w:val="20"/>
          <w:color w:val="auto"/>
        </w:rPr>
      </w:pPr>
    </w:p>
    <w:p>
      <w:pPr>
        <w:jc w:val="both"/>
        <w:ind w:left="3" w:right="20"/>
        <w:spacing w:after="0" w:line="334" w:lineRule="auto"/>
        <w:rPr>
          <w:sz w:val="20"/>
          <w:szCs w:val="20"/>
          <w:color w:val="auto"/>
        </w:rPr>
      </w:pPr>
      <w:r>
        <w:rPr>
          <w:rFonts w:ascii="Times New Roman" w:cs="Times New Roman" w:eastAsia="Times New Roman" w:hAnsi="Times New Roman"/>
          <w:sz w:val="16"/>
          <w:szCs w:val="16"/>
          <w:color w:val="auto"/>
        </w:rPr>
        <w:t>ended October 3, 2026, respectively. For the plans approved during 2026, restructuring expenses of $1.4 million and $26.0 million were recorded during the three and nine months ended October 3, 2026, respectively.</w:t>
      </w:r>
    </w:p>
    <w:p>
      <w:pPr>
        <w:spacing w:after="0" w:line="252"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The Company expects the remaining severance and other restructuring costs to be paid over the next 12 months.</w:t>
      </w:r>
    </w:p>
    <w:p>
      <w:pPr>
        <w:spacing w:after="0" w:line="25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4. Receivables, net</w:t>
      </w:r>
    </w:p>
    <w:p>
      <w:pPr>
        <w:spacing w:after="0" w:line="140" w:lineRule="exact"/>
        <w:rPr>
          <w:sz w:val="20"/>
          <w:szCs w:val="20"/>
          <w:color w:val="auto"/>
        </w:rPr>
      </w:pPr>
    </w:p>
    <w:tbl>
      <w:tblPr>
        <w:tblLayout w:type="fixed"/>
        <w:tblInd w:w="3" w:type="dxa"/>
        <w:tblCellMar>
          <w:top w:w="0" w:type="dxa"/>
          <w:left w:w="0" w:type="dxa"/>
          <w:bottom w:w="0" w:type="dxa"/>
          <w:right w:w="0" w:type="dxa"/>
        </w:tblCellMar>
      </w:tblPr>
      <w:tr>
        <w:trPr>
          <w:trHeight w:val="169"/>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millions)</w:t>
            </w:r>
          </w:p>
        </w:tc>
        <w:tc>
          <w:tcPr>
            <w:tcW w:w="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jc w:val="right"/>
              <w:ind w:right="582"/>
              <w:spacing w:after="0"/>
              <w:rPr>
                <w:sz w:val="20"/>
                <w:szCs w:val="20"/>
                <w:color w:val="auto"/>
              </w:rPr>
            </w:pPr>
            <w:r>
              <w:rPr>
                <w:rFonts w:ascii="Times New Roman" w:cs="Times New Roman" w:eastAsia="Times New Roman" w:hAnsi="Times New Roman"/>
                <w:sz w:val="13"/>
                <w:szCs w:val="13"/>
                <w:b w:val="1"/>
                <w:bCs w:val="1"/>
                <w:color w:val="auto"/>
              </w:rPr>
              <w:t>October 3, 2026</w:t>
            </w: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w w:val="99"/>
              </w:rPr>
              <w:t>December 31, 2025</w:t>
            </w:r>
          </w:p>
        </w:tc>
      </w:tr>
      <w:tr>
        <w:trPr>
          <w:trHeight w:val="23"/>
        </w:trPr>
        <w:tc>
          <w:tcPr>
            <w:tcW w:w="5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8"/>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Customers, trade</w:t>
            </w:r>
          </w:p>
        </w:tc>
        <w:tc>
          <w:tcPr>
            <w:tcW w:w="5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1,983.0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1,773.0</w:t>
            </w:r>
          </w:p>
        </w:tc>
        <w:tc>
          <w:tcPr>
            <w:tcW w:w="20" w:type="dxa"/>
            <w:vAlign w:val="bottom"/>
            <w:shd w:val="clear" w:color="auto" w:fill="CCEEFF"/>
          </w:tcPr>
          <w:p>
            <w:pPr>
              <w:spacing w:after="0"/>
              <w:rPr>
                <w:sz w:val="17"/>
                <w:szCs w:val="17"/>
                <w:color w:val="auto"/>
              </w:rPr>
            </w:pPr>
          </w:p>
        </w:tc>
      </w:tr>
      <w:tr>
        <w:trPr>
          <w:trHeight w:val="206"/>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receivable</w:t>
            </w: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46.1</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20" w:type="dxa"/>
            <w:vAlign w:val="bottom"/>
          </w:tcPr>
          <w:p>
            <w:pPr>
              <w:spacing w:after="0"/>
              <w:rPr>
                <w:sz w:val="17"/>
                <w:szCs w:val="17"/>
                <w:color w:val="auto"/>
              </w:rPr>
            </w:pPr>
          </w:p>
        </w:tc>
      </w:tr>
      <w:tr>
        <w:trPr>
          <w:trHeight w:val="20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5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161.4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20" w:type="dxa"/>
            <w:vAlign w:val="bottom"/>
            <w:shd w:val="clear" w:color="auto" w:fill="CCEEFF"/>
          </w:tcPr>
          <w:p>
            <w:pPr>
              <w:spacing w:after="0"/>
              <w:rPr>
                <w:sz w:val="17"/>
                <w:szCs w:val="17"/>
                <w:color w:val="auto"/>
              </w:rPr>
            </w:pPr>
          </w:p>
        </w:tc>
      </w:tr>
      <w:tr>
        <w:trPr>
          <w:trHeight w:val="206"/>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allowance for discounts, claims and doubtful accounts</w:t>
            </w:r>
          </w:p>
        </w:tc>
        <w:tc>
          <w:tcPr>
            <w:tcW w:w="5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65.5</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20" w:type="dxa"/>
            <w:vAlign w:val="bottom"/>
            <w:tcBorders>
              <w:bottom w:val="single" w:sz="8" w:color="auto"/>
            </w:tcBorders>
          </w:tcPr>
          <w:p>
            <w:pPr>
              <w:spacing w:after="0"/>
              <w:rPr>
                <w:sz w:val="17"/>
                <w:szCs w:val="17"/>
                <w:color w:val="auto"/>
              </w:rPr>
            </w:pPr>
          </w:p>
        </w:tc>
      </w:tr>
      <w:tr>
        <w:trPr>
          <w:trHeight w:val="203"/>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net</w:t>
            </w:r>
          </w:p>
        </w:tc>
        <w:tc>
          <w:tcPr>
            <w:tcW w:w="5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Borders>
              <w:bottom w:val="single" w:sz="8" w:color="auto"/>
            </w:tcBorders>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2,125.0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1,924.1</w:t>
            </w:r>
          </w:p>
        </w:tc>
        <w:tc>
          <w:tcPr>
            <w:tcW w:w="20" w:type="dxa"/>
            <w:vAlign w:val="bottom"/>
            <w:tcBorders>
              <w:bottom w:val="single" w:sz="8" w:color="auto"/>
            </w:tcBorders>
            <w:shd w:val="clear" w:color="auto" w:fill="CCEEFF"/>
          </w:tcPr>
          <w:p>
            <w:pPr>
              <w:spacing w:after="0"/>
              <w:rPr>
                <w:sz w:val="17"/>
                <w:szCs w:val="17"/>
                <w:color w:val="auto"/>
              </w:rPr>
            </w:pPr>
          </w:p>
        </w:tc>
      </w:tr>
      <w:tr>
        <w:trPr>
          <w:trHeight w:val="509"/>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5. Inventories</w:t>
            </w: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millions)</w:t>
            </w: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jc w:val="right"/>
              <w:ind w:right="582"/>
              <w:spacing w:after="0"/>
              <w:rPr>
                <w:sz w:val="20"/>
                <w:szCs w:val="20"/>
                <w:color w:val="auto"/>
              </w:rPr>
            </w:pPr>
            <w:r>
              <w:rPr>
                <w:rFonts w:ascii="Times New Roman" w:cs="Times New Roman" w:eastAsia="Times New Roman" w:hAnsi="Times New Roman"/>
                <w:sz w:val="13"/>
                <w:szCs w:val="13"/>
                <w:b w:val="1"/>
                <w:bCs w:val="1"/>
                <w:color w:val="auto"/>
              </w:rPr>
              <w:t>October 3, 2026</w:t>
            </w: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w w:val="99"/>
              </w:rPr>
              <w:t>December 31, 2025</w:t>
            </w:r>
          </w:p>
        </w:tc>
      </w:tr>
      <w:tr>
        <w:trPr>
          <w:trHeight w:val="23"/>
        </w:trPr>
        <w:tc>
          <w:tcPr>
            <w:tcW w:w="5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8"/>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5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1,864.8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1,926.2</w:t>
            </w:r>
          </w:p>
        </w:tc>
        <w:tc>
          <w:tcPr>
            <w:tcW w:w="20" w:type="dxa"/>
            <w:vAlign w:val="bottom"/>
            <w:shd w:val="clear" w:color="auto" w:fill="CCEEFF"/>
          </w:tcPr>
          <w:p>
            <w:pPr>
              <w:spacing w:after="0"/>
              <w:rPr>
                <w:sz w:val="17"/>
                <w:szCs w:val="17"/>
                <w:color w:val="auto"/>
              </w:rPr>
            </w:pPr>
          </w:p>
        </w:tc>
      </w:tr>
      <w:tr>
        <w:trPr>
          <w:trHeight w:val="206"/>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140.4</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20" w:type="dxa"/>
            <w:vAlign w:val="bottom"/>
          </w:tcPr>
          <w:p>
            <w:pPr>
              <w:spacing w:after="0"/>
              <w:rPr>
                <w:sz w:val="17"/>
                <w:szCs w:val="17"/>
                <w:color w:val="auto"/>
              </w:rPr>
            </w:pPr>
          </w:p>
        </w:tc>
      </w:tr>
      <w:tr>
        <w:trPr>
          <w:trHeight w:val="206"/>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5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586.4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605.7</w:t>
            </w:r>
          </w:p>
        </w:tc>
        <w:tc>
          <w:tcPr>
            <w:tcW w:w="20" w:type="dxa"/>
            <w:vAlign w:val="bottom"/>
            <w:tcBorders>
              <w:bottom w:val="single" w:sz="8" w:color="auto"/>
            </w:tcBorders>
            <w:shd w:val="clear" w:color="auto" w:fill="CCEEFF"/>
          </w:tcPr>
          <w:p>
            <w:pPr>
              <w:spacing w:after="0"/>
              <w:rPr>
                <w:sz w:val="17"/>
                <w:szCs w:val="17"/>
                <w:color w:val="auto"/>
              </w:rPr>
            </w:pPr>
          </w:p>
        </w:tc>
      </w:tr>
      <w:tr>
        <w:trPr>
          <w:trHeight w:val="203"/>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5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2,591.6</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2,661.7</w:t>
            </w:r>
          </w:p>
        </w:tc>
        <w:tc>
          <w:tcPr>
            <w:tcW w:w="20" w:type="dxa"/>
            <w:vAlign w:val="bottom"/>
            <w:tcBorders>
              <w:bottom w:val="single" w:sz="8" w:color="auto"/>
            </w:tcBorders>
          </w:tcPr>
          <w:p>
            <w:pPr>
              <w:spacing w:after="0"/>
              <w:rPr>
                <w:sz w:val="17"/>
                <w:szCs w:val="17"/>
                <w:color w:val="auto"/>
              </w:rPr>
            </w:pPr>
          </w:p>
        </w:tc>
      </w:tr>
      <w:tr>
        <w:trPr>
          <w:trHeight w:val="727"/>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6. Goodwill and Intangible Assets</w:t>
            </w: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7"/>
        </w:trPr>
        <w:tc>
          <w:tcPr>
            <w:tcW w:w="54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The components of goodwill and other intangible assets are as follows:</w:t>
            </w: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9"/>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millions)</w:t>
            </w:r>
          </w:p>
        </w:tc>
        <w:tc>
          <w:tcPr>
            <w:tcW w:w="540" w:type="dxa"/>
            <w:vAlign w:val="bottom"/>
          </w:tcPr>
          <w:p>
            <w:pPr>
              <w:spacing w:after="0"/>
              <w:rPr>
                <w:sz w:val="24"/>
                <w:szCs w:val="24"/>
                <w:color w:val="auto"/>
              </w:rPr>
            </w:pPr>
          </w:p>
        </w:tc>
        <w:tc>
          <w:tcPr>
            <w:tcW w:w="13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Global Ceramic</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Flooring NA</w:t>
            </w:r>
          </w:p>
        </w:tc>
        <w:tc>
          <w:tcPr>
            <w:tcW w:w="1580" w:type="dxa"/>
            <w:vAlign w:val="bottom"/>
          </w:tcPr>
          <w:p>
            <w:pPr>
              <w:jc w:val="right"/>
              <w:ind w:right="122"/>
              <w:spacing w:after="0"/>
              <w:rPr>
                <w:sz w:val="20"/>
                <w:szCs w:val="20"/>
                <w:color w:val="auto"/>
              </w:rPr>
            </w:pPr>
            <w:r>
              <w:rPr>
                <w:rFonts w:ascii="Times New Roman" w:cs="Times New Roman" w:eastAsia="Times New Roman" w:hAnsi="Times New Roman"/>
                <w:sz w:val="13"/>
                <w:szCs w:val="13"/>
                <w:color w:val="auto"/>
              </w:rPr>
              <w:t>Flooring ROW</w:t>
            </w: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Total</w:t>
            </w:r>
          </w:p>
        </w:tc>
      </w:tr>
      <w:tr>
        <w:trPr>
          <w:trHeight w:val="23"/>
        </w:trPr>
        <w:tc>
          <w:tcPr>
            <w:tcW w:w="5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8"/>
        </w:trPr>
        <w:tc>
          <w:tcPr>
            <w:tcW w:w="5400" w:type="dxa"/>
            <w:vAlign w:val="bottom"/>
            <w:tcBorders>
              <w:bottom w:val="single" w:sz="8" w:color="auto"/>
            </w:tcBorders>
            <w:shd w:val="clear" w:color="auto" w:fill="CCEEFF"/>
          </w:tcPr>
          <w:p>
            <w:pPr>
              <w:ind w:left="20"/>
              <w:spacing w:after="0" w:line="199" w:lineRule="exact"/>
              <w:rPr>
                <w:sz w:val="20"/>
                <w:szCs w:val="20"/>
                <w:color w:val="auto"/>
              </w:rPr>
            </w:pPr>
            <w:r>
              <w:rPr>
                <w:rFonts w:ascii="Times New Roman" w:cs="Times New Roman" w:eastAsia="Times New Roman" w:hAnsi="Times New Roman"/>
                <w:sz w:val="16"/>
                <w:szCs w:val="16"/>
                <w:color w:val="auto"/>
              </w:rPr>
              <w:t xml:space="preserve">Balance as of December 31, 2025 </w:t>
            </w:r>
            <w:r>
              <w:rPr>
                <w:rFonts w:ascii="Times New Roman" w:cs="Times New Roman" w:eastAsia="Times New Roman" w:hAnsi="Times New Roman"/>
                <w:sz w:val="21"/>
                <w:szCs w:val="21"/>
                <w:color w:val="auto"/>
                <w:vertAlign w:val="superscript"/>
              </w:rPr>
              <w:t>(1)</w:t>
            </w:r>
          </w:p>
        </w:tc>
        <w:tc>
          <w:tcPr>
            <w:tcW w:w="5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379.9</w:t>
            </w:r>
          </w:p>
        </w:tc>
        <w:tc>
          <w:tcPr>
            <w:tcW w:w="158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830.4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1,210.3</w:t>
            </w:r>
          </w:p>
        </w:tc>
        <w:tc>
          <w:tcPr>
            <w:tcW w:w="20" w:type="dxa"/>
            <w:vAlign w:val="bottom"/>
          </w:tcPr>
          <w:p>
            <w:pPr>
              <w:spacing w:after="0"/>
              <w:rPr>
                <w:sz w:val="17"/>
                <w:szCs w:val="17"/>
                <w:color w:val="auto"/>
              </w:rPr>
            </w:pPr>
          </w:p>
        </w:tc>
      </w:tr>
      <w:tr>
        <w:trPr>
          <w:trHeight w:val="198"/>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recognized</w:t>
            </w:r>
          </w:p>
        </w:tc>
        <w:tc>
          <w:tcPr>
            <w:tcW w:w="540" w:type="dxa"/>
            <w:vAlign w:val="bottom"/>
          </w:tcPr>
          <w:p>
            <w:pPr>
              <w:spacing w:after="0"/>
              <w:rPr>
                <w:sz w:val="17"/>
                <w:szCs w:val="17"/>
                <w:color w:val="auto"/>
              </w:rPr>
            </w:pPr>
          </w:p>
        </w:tc>
        <w:tc>
          <w:tcPr>
            <w:tcW w:w="1360" w:type="dxa"/>
            <w:vAlign w:val="bottom"/>
          </w:tcPr>
          <w:p>
            <w:pPr>
              <w:ind w:left="94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0.1</w:t>
            </w:r>
          </w:p>
        </w:tc>
        <w:tc>
          <w:tcPr>
            <w:tcW w:w="158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20" w:type="dxa"/>
            <w:vAlign w:val="bottom"/>
          </w:tcPr>
          <w:p>
            <w:pPr>
              <w:spacing w:after="0"/>
              <w:rPr>
                <w:sz w:val="17"/>
                <w:szCs w:val="17"/>
                <w:color w:val="auto"/>
              </w:rPr>
            </w:pPr>
          </w:p>
        </w:tc>
      </w:tr>
      <w:tr>
        <w:trPr>
          <w:trHeight w:val="20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Measurement-period adjustment to intangible asset</w:t>
            </w:r>
          </w:p>
        </w:tc>
        <w:tc>
          <w:tcPr>
            <w:tcW w:w="540" w:type="dxa"/>
            <w:vAlign w:val="bottom"/>
            <w:shd w:val="clear" w:color="auto" w:fill="CCEEFF"/>
          </w:tcPr>
          <w:p>
            <w:pPr>
              <w:spacing w:after="0"/>
              <w:rPr>
                <w:sz w:val="17"/>
                <w:szCs w:val="17"/>
                <w:color w:val="auto"/>
              </w:rPr>
            </w:pPr>
          </w:p>
        </w:tc>
        <w:tc>
          <w:tcPr>
            <w:tcW w:w="13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158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20" w:type="dxa"/>
            <w:vAlign w:val="bottom"/>
          </w:tcPr>
          <w:p>
            <w:pPr>
              <w:spacing w:after="0"/>
              <w:rPr>
                <w:sz w:val="17"/>
                <w:szCs w:val="17"/>
                <w:color w:val="auto"/>
              </w:rPr>
            </w:pPr>
          </w:p>
        </w:tc>
      </w:tr>
      <w:tr>
        <w:trPr>
          <w:trHeight w:val="206"/>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Currency translation</w:t>
            </w:r>
          </w:p>
        </w:tc>
        <w:tc>
          <w:tcPr>
            <w:tcW w:w="5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(31.8)</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(31.8)</w:t>
            </w:r>
          </w:p>
        </w:tc>
        <w:tc>
          <w:tcPr>
            <w:tcW w:w="20" w:type="dxa"/>
            <w:vAlign w:val="bottom"/>
          </w:tcPr>
          <w:p>
            <w:pPr>
              <w:spacing w:after="0"/>
              <w:rPr>
                <w:sz w:val="17"/>
                <w:szCs w:val="17"/>
                <w:color w:val="auto"/>
              </w:rPr>
            </w:pPr>
          </w:p>
        </w:tc>
      </w:tr>
      <w:tr>
        <w:trPr>
          <w:trHeight w:val="203"/>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 2026</w:t>
            </w:r>
          </w:p>
        </w:tc>
        <w:tc>
          <w:tcPr>
            <w:tcW w:w="5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372.4</w:t>
            </w:r>
          </w:p>
        </w:tc>
        <w:tc>
          <w:tcPr>
            <w:tcW w:w="158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798.6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1,171.0</w:t>
            </w:r>
          </w:p>
        </w:tc>
        <w:tc>
          <w:tcPr>
            <w:tcW w:w="20" w:type="dxa"/>
            <w:vAlign w:val="bottom"/>
          </w:tcPr>
          <w:p>
            <w:pPr>
              <w:spacing w:after="0"/>
              <w:rPr>
                <w:sz w:val="17"/>
                <w:szCs w:val="17"/>
                <w:color w:val="auto"/>
              </w:rPr>
            </w:pPr>
          </w:p>
        </w:tc>
      </w:tr>
    </w:tbl>
    <w:p>
      <w:pPr>
        <w:spacing w:after="0" w:line="120" w:lineRule="exact"/>
        <w:rPr>
          <w:sz w:val="20"/>
          <w:szCs w:val="20"/>
          <w:color w:val="auto"/>
        </w:rPr>
      </w:pPr>
    </w:p>
    <w:p>
      <w:pPr>
        <w:ind w:left="123" w:hanging="123"/>
        <w:spacing w:after="0"/>
        <w:tabs>
          <w:tab w:leader="none" w:pos="123" w:val="left"/>
        </w:tabs>
        <w:numPr>
          <w:ilvl w:val="0"/>
          <w:numId w:val="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Net of accumulated impairment losses of $2,886.7 million ($1,644.7 million in Global Ceramic, $557.9 million in Flooring NA and $684.1 million in Flooring 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7169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3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Intangible assets not subject to amortization: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millions)</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Tradenames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2025</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560" w:type="dxa"/>
            <w:vAlign w:val="bottom"/>
            <w:shd w:val="clear" w:color="auto" w:fill="CCEEFF"/>
          </w:tcPr>
          <w:p>
            <w:pPr>
              <w:jc w:val="center"/>
              <w:ind w:left="80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Currency translation during the period</w:t>
            </w:r>
          </w:p>
        </w:tc>
        <w:tc>
          <w:tcPr>
            <w:tcW w:w="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 2026</w:t>
            </w:r>
          </w:p>
        </w:tc>
        <w:tc>
          <w:tcPr>
            <w:tcW w:w="7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center"/>
              <w:ind w:left="80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7"/>
        </w:trPr>
        <w:tc>
          <w:tcPr>
            <w:tcW w:w="4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Intangible assets subject to amortization:</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millions)</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ind w:right="45"/>
              <w:spacing w:after="0"/>
              <w:rPr>
                <w:sz w:val="20"/>
                <w:szCs w:val="20"/>
                <w:color w:val="auto"/>
              </w:rPr>
            </w:pPr>
            <w:r>
              <w:rPr>
                <w:rFonts w:ascii="Times New Roman" w:cs="Times New Roman" w:eastAsia="Times New Roman" w:hAnsi="Times New Roman"/>
                <w:sz w:val="13"/>
                <w:szCs w:val="13"/>
                <w:color w:val="auto"/>
                <w:w w:val="99"/>
              </w:rPr>
              <w:t>Customer Relationships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Patents</w:t>
            </w:r>
          </w:p>
        </w:tc>
        <w:tc>
          <w:tcPr>
            <w:tcW w:w="1560" w:type="dxa"/>
            <w:vAlign w:val="bottom"/>
          </w:tcPr>
          <w:p>
            <w:pPr>
              <w:jc w:val="center"/>
              <w:ind w:left="824"/>
              <w:spacing w:after="0"/>
              <w:rPr>
                <w:sz w:val="20"/>
                <w:szCs w:val="20"/>
                <w:color w:val="auto"/>
              </w:rPr>
            </w:pPr>
            <w:r>
              <w:rPr>
                <w:rFonts w:ascii="Times New Roman" w:cs="Times New Roman" w:eastAsia="Times New Roman" w:hAnsi="Times New Roman"/>
                <w:sz w:val="13"/>
                <w:szCs w:val="13"/>
                <w:color w:val="auto"/>
              </w:rPr>
              <w:t>Other</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as of December 31, 2025</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carrying amount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716.2</w:t>
            </w: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265.8</w:t>
            </w:r>
          </w:p>
        </w:tc>
        <w:tc>
          <w:tcPr>
            <w:tcW w:w="156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9.1</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acquired</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0.9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rPr>
              <w:t>(607.2)</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(264.5)</w:t>
            </w:r>
          </w:p>
        </w:tc>
        <w:tc>
          <w:tcPr>
            <w:tcW w:w="1560" w:type="dxa"/>
            <w:vAlign w:val="bottom"/>
            <w:tcBorders>
              <w:bottom w:val="single" w:sz="8" w:color="auto"/>
            </w:tcBorders>
          </w:tcPr>
          <w:p>
            <w:pPr>
              <w:jc w:val="center"/>
              <w:ind w:left="784"/>
              <w:spacing w:after="0"/>
              <w:rPr>
                <w:sz w:val="20"/>
                <w:szCs w:val="20"/>
                <w:color w:val="auto"/>
              </w:rPr>
            </w:pPr>
            <w:r>
              <w:rPr>
                <w:rFonts w:ascii="Times New Roman" w:cs="Times New Roman" w:eastAsia="Times New Roman" w:hAnsi="Times New Roman"/>
                <w:sz w:val="16"/>
                <w:szCs w:val="16"/>
                <w:color w:val="auto"/>
                <w:w w:val="97"/>
              </w:rPr>
              <w:t>(2.9)</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intangible assets subject to amortization</w:t>
            </w:r>
          </w:p>
        </w:tc>
        <w:tc>
          <w:tcPr>
            <w:tcW w:w="7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109.0</w:t>
            </w:r>
          </w:p>
        </w:tc>
        <w:tc>
          <w:tcPr>
            <w:tcW w:w="13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w:t>
            </w:r>
          </w:p>
        </w:tc>
        <w:tc>
          <w:tcPr>
            <w:tcW w:w="156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7.1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October 3, 2026</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carrying amount</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rPr>
              <w:t>698.3</w:t>
            </w:r>
          </w:p>
        </w:tc>
        <w:tc>
          <w:tcPr>
            <w:tcW w:w="13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254.6</w:t>
            </w:r>
          </w:p>
        </w:tc>
        <w:tc>
          <w:tcPr>
            <w:tcW w:w="156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17.5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b w:val="1"/>
                <w:bCs w:val="1"/>
                <w:color w:val="auto"/>
              </w:rPr>
              <w:t>(612.0)</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(254.0)</w:t>
            </w:r>
          </w:p>
        </w:tc>
        <w:tc>
          <w:tcPr>
            <w:tcW w:w="1560" w:type="dxa"/>
            <w:vAlign w:val="bottom"/>
            <w:tcBorders>
              <w:bottom w:val="single" w:sz="8" w:color="auto"/>
            </w:tcBorders>
          </w:tcPr>
          <w:p>
            <w:pPr>
              <w:jc w:val="center"/>
              <w:ind w:left="784"/>
              <w:spacing w:after="0"/>
              <w:rPr>
                <w:sz w:val="20"/>
                <w:szCs w:val="20"/>
                <w:color w:val="auto"/>
              </w:rPr>
            </w:pPr>
            <w:r>
              <w:rPr>
                <w:rFonts w:ascii="Times New Roman" w:cs="Times New Roman" w:eastAsia="Times New Roman" w:hAnsi="Times New Roman"/>
                <w:sz w:val="16"/>
                <w:szCs w:val="16"/>
                <w:b w:val="1"/>
                <w:bCs w:val="1"/>
                <w:color w:val="auto"/>
                <w:w w:val="97"/>
              </w:rPr>
              <w:t>(3.9)</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intangible assets subject to amortization</w:t>
            </w: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rPr>
              <w:t>86.3</w:t>
            </w:r>
          </w:p>
        </w:tc>
        <w:tc>
          <w:tcPr>
            <w:tcW w:w="13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0.6</w:t>
            </w:r>
          </w:p>
        </w:tc>
        <w:tc>
          <w:tcPr>
            <w:tcW w:w="156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13.6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7"/>
        </w:trPr>
        <w:tc>
          <w:tcPr>
            <w:tcW w:w="4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60" w:type="dxa"/>
            <w:vAlign w:val="bottom"/>
            <w:gridSpan w:val="2"/>
          </w:tcPr>
          <w:p>
            <w:pPr>
              <w:jc w:val="right"/>
              <w:ind w:right="1082"/>
              <w:spacing w:after="0"/>
              <w:rPr>
                <w:sz w:val="20"/>
                <w:szCs w:val="20"/>
                <w:color w:val="auto"/>
              </w:rPr>
            </w:pPr>
            <w:r>
              <w:rPr>
                <w:rFonts w:ascii="Times New Roman" w:cs="Times New Roman" w:eastAsia="Times New Roman" w:hAnsi="Times New Roman"/>
                <w:sz w:val="13"/>
                <w:szCs w:val="13"/>
                <w:color w:val="auto"/>
              </w:rPr>
              <w:t>Three Months Ended</w:t>
            </w:r>
          </w:p>
        </w:tc>
        <w:tc>
          <w:tcPr>
            <w:tcW w:w="2820" w:type="dxa"/>
            <w:vAlign w:val="bottom"/>
            <w:gridSpan w:val="2"/>
          </w:tcPr>
          <w:p>
            <w:pPr>
              <w:jc w:val="right"/>
              <w:ind w:right="922"/>
              <w:spacing w:after="0"/>
              <w:rPr>
                <w:sz w:val="20"/>
                <w:szCs w:val="20"/>
                <w:color w:val="auto"/>
              </w:rPr>
            </w:pPr>
            <w:r>
              <w:rPr>
                <w:rFonts w:ascii="Times New Roman" w:cs="Times New Roman" w:eastAsia="Times New Roman" w:hAnsi="Times New Roman"/>
                <w:sz w:val="13"/>
                <w:szCs w:val="13"/>
                <w:color w:val="auto"/>
              </w:rPr>
              <w:t>Nine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(In millions)</w:t>
            </w:r>
          </w:p>
        </w:tc>
        <w:tc>
          <w:tcPr>
            <w:tcW w:w="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444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3"/>
                <w:szCs w:val="13"/>
                <w:b w:val="1"/>
                <w:bCs w:val="1"/>
                <w:color w:val="auto"/>
              </w:rPr>
              <w:t>October 3, 2026</w:t>
            </w:r>
          </w:p>
        </w:tc>
        <w:tc>
          <w:tcPr>
            <w:tcW w:w="13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3"/>
                <w:szCs w:val="13"/>
                <w:color w:val="auto"/>
              </w:rPr>
              <w:t>September 27, 2025</w:t>
            </w:r>
          </w:p>
        </w:tc>
        <w:tc>
          <w:tcPr>
            <w:tcW w:w="156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October 3, 2026</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September 27, 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1220" w:type="dxa"/>
            <w:vAlign w:val="bottom"/>
            <w:tcBorders>
              <w:bottom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Borders>
              <w:bottom w:val="single" w:sz="8" w:color="auto"/>
            </w:tcBorders>
            <w:shd w:val="clear" w:color="auto" w:fill="CCEEFF"/>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7.7</w:t>
            </w:r>
          </w:p>
        </w:tc>
        <w:tc>
          <w:tcPr>
            <w:tcW w:w="138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7.1</w:t>
            </w:r>
          </w:p>
        </w:tc>
        <w:tc>
          <w:tcPr>
            <w:tcW w:w="1560" w:type="dxa"/>
            <w:vAlign w:val="bottom"/>
            <w:tcBorders>
              <w:bottom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22.3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7"/>
        </w:trPr>
        <w:tc>
          <w:tcPr>
            <w:tcW w:w="4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7. Accounts Payable and Accrued Expenses</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millions)</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Pr>
          <w:p>
            <w:pPr>
              <w:jc w:val="right"/>
              <w:ind w:right="544"/>
              <w:spacing w:after="0"/>
              <w:rPr>
                <w:sz w:val="20"/>
                <w:szCs w:val="20"/>
                <w:color w:val="auto"/>
              </w:rPr>
            </w:pPr>
            <w:r>
              <w:rPr>
                <w:rFonts w:ascii="Times New Roman" w:cs="Times New Roman" w:eastAsia="Times New Roman" w:hAnsi="Times New Roman"/>
                <w:sz w:val="13"/>
                <w:szCs w:val="13"/>
                <w:b w:val="1"/>
                <w:bCs w:val="1"/>
                <w:color w:val="auto"/>
              </w:rPr>
              <w:t>October 3, 2026</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December 31,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checks in excess of cash</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shd w:val="clear" w:color="auto" w:fill="CCEEFF"/>
          </w:tcPr>
          <w:p>
            <w:pPr>
              <w:jc w:val="right"/>
              <w:ind w:right="604"/>
              <w:spacing w:after="0"/>
              <w:rPr>
                <w:sz w:val="20"/>
                <w:szCs w:val="20"/>
                <w:color w:val="auto"/>
              </w:rPr>
            </w:pPr>
            <w:r>
              <w:rPr>
                <w:rFonts w:ascii="Times New Roman" w:cs="Times New Roman" w:eastAsia="Times New Roman" w:hAnsi="Times New Roman"/>
                <w:sz w:val="16"/>
                <w:szCs w:val="16"/>
                <w:b w:val="1"/>
                <w:bCs w:val="1"/>
                <w:color w:val="auto"/>
              </w:rPr>
              <w:t>2.8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trade</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60" w:type="dxa"/>
            <w:vAlign w:val="bottom"/>
          </w:tcPr>
          <w:p>
            <w:pPr>
              <w:jc w:val="right"/>
              <w:ind w:right="604"/>
              <w:spacing w:after="0"/>
              <w:rPr>
                <w:sz w:val="20"/>
                <w:szCs w:val="20"/>
                <w:color w:val="auto"/>
              </w:rPr>
            </w:pPr>
            <w:r>
              <w:rPr>
                <w:rFonts w:ascii="Times New Roman" w:cs="Times New Roman" w:eastAsia="Times New Roman" w:hAnsi="Times New Roman"/>
                <w:sz w:val="16"/>
                <w:szCs w:val="16"/>
                <w:b w:val="1"/>
                <w:bCs w:val="1"/>
                <w:color w:val="auto"/>
              </w:rPr>
              <w:t>1,198.8</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604"/>
              <w:spacing w:after="0"/>
              <w:rPr>
                <w:sz w:val="20"/>
                <w:szCs w:val="20"/>
                <w:color w:val="auto"/>
              </w:rPr>
            </w:pPr>
            <w:r>
              <w:rPr>
                <w:rFonts w:ascii="Times New Roman" w:cs="Times New Roman" w:eastAsia="Times New Roman" w:hAnsi="Times New Roman"/>
                <w:sz w:val="16"/>
                <w:szCs w:val="16"/>
                <w:b w:val="1"/>
                <w:bCs w:val="1"/>
                <w:color w:val="auto"/>
              </w:rPr>
              <w:t>870.3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warranties</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60" w:type="dxa"/>
            <w:vAlign w:val="bottom"/>
          </w:tcPr>
          <w:p>
            <w:pPr>
              <w:jc w:val="right"/>
              <w:ind w:right="604"/>
              <w:spacing w:after="0"/>
              <w:rPr>
                <w:sz w:val="20"/>
                <w:szCs w:val="20"/>
                <w:color w:val="auto"/>
              </w:rPr>
            </w:pPr>
            <w:r>
              <w:rPr>
                <w:rFonts w:ascii="Times New Roman" w:cs="Times New Roman" w:eastAsia="Times New Roman" w:hAnsi="Times New Roman"/>
                <w:sz w:val="16"/>
                <w:szCs w:val="16"/>
                <w:b w:val="1"/>
                <w:bCs w:val="1"/>
                <w:color w:val="auto"/>
              </w:rPr>
              <w:t>21.9</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604"/>
              <w:spacing w:after="0"/>
              <w:rPr>
                <w:sz w:val="20"/>
                <w:szCs w:val="20"/>
                <w:color w:val="auto"/>
              </w:rPr>
            </w:pPr>
            <w:r>
              <w:rPr>
                <w:rFonts w:ascii="Times New Roman" w:cs="Times New Roman" w:eastAsia="Times New Roman" w:hAnsi="Times New Roman"/>
                <w:sz w:val="16"/>
                <w:szCs w:val="16"/>
                <w:b w:val="1"/>
                <w:bCs w:val="1"/>
                <w:color w:val="auto"/>
              </w:rPr>
              <w:t>12.8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6"/>
                <w:szCs w:val="16"/>
                <w:b w:val="1"/>
                <w:bCs w:val="1"/>
                <w:color w:val="auto"/>
              </w:rPr>
              <w:t>335.9</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279.6</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accounts payable and accrued expenses</w:t>
            </w:r>
          </w:p>
        </w:tc>
        <w:tc>
          <w:tcPr>
            <w:tcW w:w="7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tcBorders>
              <w:bottom w:val="single" w:sz="8" w:color="auto"/>
            </w:tcBorders>
            <w:shd w:val="clear" w:color="auto" w:fill="CCEEFF"/>
          </w:tcPr>
          <w:p>
            <w:pPr>
              <w:jc w:val="right"/>
              <w:ind w:right="604"/>
              <w:spacing w:after="0"/>
              <w:rPr>
                <w:sz w:val="20"/>
                <w:szCs w:val="20"/>
                <w:color w:val="auto"/>
              </w:rPr>
            </w:pPr>
            <w:r>
              <w:rPr>
                <w:rFonts w:ascii="Times New Roman" w:cs="Times New Roman" w:eastAsia="Times New Roman" w:hAnsi="Times New Roman"/>
                <w:sz w:val="16"/>
                <w:szCs w:val="16"/>
                <w:b w:val="1"/>
                <w:bCs w:val="1"/>
                <w:color w:val="auto"/>
              </w:rPr>
              <w:t>2,442.5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2,310.4</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97"/>
        </w:trPr>
        <w:tc>
          <w:tcPr>
            <w:tcW w:w="4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8. Accumulated Other Comprehensive Income (Loss)</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jc w:val="right"/>
              <w:ind w:right="324"/>
              <w:spacing w:after="0"/>
              <w:rPr>
                <w:sz w:val="20"/>
                <w:szCs w:val="20"/>
                <w:color w:val="auto"/>
              </w:rPr>
            </w:pPr>
            <w:r>
              <w:rPr>
                <w:rFonts w:ascii="Times New Roman" w:cs="Times New Roman" w:eastAsia="Times New Roman" w:hAnsi="Times New Roman"/>
                <w:sz w:val="13"/>
                <w:szCs w:val="13"/>
                <w:color w:val="auto"/>
              </w:rPr>
              <w:t>Prior Pension and</w:t>
            </w: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760" w:type="dxa"/>
            <w:vAlign w:val="bottom"/>
            <w:gridSpan w:val="2"/>
            <w:vMerge w:val="restart"/>
          </w:tcPr>
          <w:p>
            <w:pPr>
              <w:jc w:val="right"/>
              <w:ind w:right="1022"/>
              <w:spacing w:after="0"/>
              <w:rPr>
                <w:sz w:val="20"/>
                <w:szCs w:val="20"/>
                <w:color w:val="auto"/>
              </w:rPr>
            </w:pPr>
            <w:r>
              <w:rPr>
                <w:rFonts w:ascii="Times New Roman" w:cs="Times New Roman" w:eastAsia="Times New Roman" w:hAnsi="Times New Roman"/>
                <w:sz w:val="13"/>
                <w:szCs w:val="13"/>
                <w:color w:val="auto"/>
              </w:rPr>
              <w:t>Foreign Currency</w:t>
            </w:r>
          </w:p>
        </w:tc>
        <w:tc>
          <w:tcPr>
            <w:tcW w:w="1560" w:type="dxa"/>
            <w:vAlign w:val="bottom"/>
          </w:tcPr>
          <w:p>
            <w:pPr>
              <w:jc w:val="right"/>
              <w:ind w:right="324"/>
              <w:spacing w:after="0" w:line="126" w:lineRule="exact"/>
              <w:rPr>
                <w:sz w:val="20"/>
                <w:szCs w:val="20"/>
                <w:color w:val="auto"/>
              </w:rPr>
            </w:pPr>
            <w:r>
              <w:rPr>
                <w:rFonts w:ascii="Times New Roman" w:cs="Times New Roman" w:eastAsia="Times New Roman" w:hAnsi="Times New Roman"/>
                <w:sz w:val="13"/>
                <w:szCs w:val="13"/>
                <w:color w:val="auto"/>
              </w:rPr>
              <w:t>Post-Retirement</w:t>
            </w: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760" w:type="dxa"/>
            <w:vAlign w:val="bottom"/>
            <w:gridSpan w:val="2"/>
            <w:vMerge w:val="continue"/>
          </w:tcPr>
          <w:p>
            <w:pPr>
              <w:spacing w:after="0"/>
              <w:rPr>
                <w:sz w:val="11"/>
                <w:szCs w:val="11"/>
                <w:color w:val="auto"/>
              </w:rPr>
            </w:pPr>
          </w:p>
        </w:tc>
        <w:tc>
          <w:tcPr>
            <w:tcW w:w="1560" w:type="dxa"/>
            <w:vAlign w:val="bottom"/>
          </w:tcPr>
          <w:p>
            <w:pPr>
              <w:jc w:val="right"/>
              <w:ind w:right="324"/>
              <w:spacing w:after="0" w:line="129" w:lineRule="exact"/>
              <w:rPr>
                <w:sz w:val="20"/>
                <w:szCs w:val="20"/>
                <w:color w:val="auto"/>
              </w:rPr>
            </w:pPr>
            <w:r>
              <w:rPr>
                <w:rFonts w:ascii="Times New Roman" w:cs="Times New Roman" w:eastAsia="Times New Roman" w:hAnsi="Times New Roman"/>
                <w:sz w:val="13"/>
                <w:szCs w:val="13"/>
                <w:color w:val="auto"/>
              </w:rPr>
              <w:t>Benefit Service</w:t>
            </w: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(In millions)</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760" w:type="dxa"/>
            <w:vAlign w:val="bottom"/>
            <w:gridSpan w:val="2"/>
          </w:tcPr>
          <w:p>
            <w:pPr>
              <w:jc w:val="right"/>
              <w:ind w:right="1022"/>
              <w:spacing w:after="0" w:line="134" w:lineRule="exact"/>
              <w:rPr>
                <w:sz w:val="20"/>
                <w:szCs w:val="20"/>
                <w:color w:val="auto"/>
              </w:rPr>
            </w:pPr>
            <w:r>
              <w:rPr>
                <w:rFonts w:ascii="Times New Roman" w:cs="Times New Roman" w:eastAsia="Times New Roman" w:hAnsi="Times New Roman"/>
                <w:sz w:val="13"/>
                <w:szCs w:val="13"/>
                <w:color w:val="auto"/>
              </w:rPr>
              <w:t>Translation</w:t>
            </w:r>
          </w:p>
        </w:tc>
        <w:tc>
          <w:tcPr>
            <w:tcW w:w="1560" w:type="dxa"/>
            <w:vAlign w:val="bottom"/>
          </w:tcPr>
          <w:p>
            <w:pPr>
              <w:jc w:val="right"/>
              <w:ind w:right="324"/>
              <w:spacing w:after="0" w:line="134" w:lineRule="exact"/>
              <w:rPr>
                <w:sz w:val="20"/>
                <w:szCs w:val="20"/>
                <w:color w:val="auto"/>
              </w:rPr>
            </w:pPr>
            <w:r>
              <w:rPr>
                <w:rFonts w:ascii="Times New Roman" w:cs="Times New Roman" w:eastAsia="Times New Roman" w:hAnsi="Times New Roman"/>
                <w:sz w:val="13"/>
                <w:szCs w:val="13"/>
                <w:color w:val="auto"/>
              </w:rPr>
              <w:t>Cost and Actuarial</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44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2"/>
          </w:tcPr>
          <w:p>
            <w:pPr>
              <w:jc w:val="right"/>
              <w:ind w:right="1022"/>
              <w:spacing w:after="0"/>
              <w:rPr>
                <w:sz w:val="20"/>
                <w:szCs w:val="20"/>
                <w:color w:val="auto"/>
              </w:rPr>
            </w:pPr>
            <w:r>
              <w:rPr>
                <w:rFonts w:ascii="Times New Roman" w:cs="Times New Roman" w:eastAsia="Times New Roman" w:hAnsi="Times New Roman"/>
                <w:sz w:val="13"/>
                <w:szCs w:val="13"/>
                <w:color w:val="auto"/>
              </w:rPr>
              <w:t>Adjustment</w:t>
            </w:r>
          </w:p>
        </w:tc>
        <w:tc>
          <w:tcPr>
            <w:tcW w:w="156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3"/>
                <w:szCs w:val="13"/>
                <w:color w:val="auto"/>
              </w:rPr>
              <w:t>Gain (Loss)</w:t>
            </w:r>
          </w:p>
        </w:tc>
        <w:tc>
          <w:tcPr>
            <w:tcW w:w="126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2025</w:t>
            </w: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2760" w:type="dxa"/>
            <w:vAlign w:val="bottom"/>
            <w:gridSpan w:val="2"/>
            <w:shd w:val="clear" w:color="auto" w:fill="CCEEFF"/>
          </w:tcPr>
          <w:p>
            <w:pPr>
              <w:jc w:val="right"/>
              <w:ind w:right="1002"/>
              <w:spacing w:after="0"/>
              <w:rPr>
                <w:sz w:val="20"/>
                <w:szCs w:val="20"/>
                <w:color w:val="auto"/>
              </w:rPr>
            </w:pPr>
            <w:r>
              <w:rPr>
                <w:rFonts w:ascii="Times New Roman" w:cs="Times New Roman" w:eastAsia="Times New Roman" w:hAnsi="Times New Roman"/>
                <w:sz w:val="16"/>
                <w:szCs w:val="16"/>
                <w:b w:val="1"/>
                <w:bCs w:val="1"/>
                <w:color w:val="auto"/>
              </w:rPr>
              <w:t>(908.6)</w:t>
            </w:r>
          </w:p>
        </w:tc>
        <w:tc>
          <w:tcPr>
            <w:tcW w:w="156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0.7</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Current period other comprehensive income (loss)</w:t>
            </w:r>
          </w:p>
        </w:tc>
        <w:tc>
          <w:tcPr>
            <w:tcW w:w="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2"/>
          </w:tcPr>
          <w:p>
            <w:pPr>
              <w:jc w:val="right"/>
              <w:ind w:right="1022"/>
              <w:spacing w:after="0"/>
              <w:rPr>
                <w:sz w:val="20"/>
                <w:szCs w:val="20"/>
                <w:color w:val="auto"/>
              </w:rPr>
            </w:pPr>
            <w:r>
              <w:rPr>
                <w:rFonts w:ascii="Times New Roman" w:cs="Times New Roman" w:eastAsia="Times New Roman" w:hAnsi="Times New Roman"/>
                <w:sz w:val="16"/>
                <w:szCs w:val="16"/>
                <w:b w:val="1"/>
                <w:bCs w:val="1"/>
                <w:color w:val="auto"/>
              </w:rPr>
              <w:t>(175.4)</w:t>
            </w:r>
          </w:p>
        </w:tc>
        <w:tc>
          <w:tcPr>
            <w:tcW w:w="15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 2026</w:t>
            </w:r>
          </w:p>
        </w:tc>
        <w:tc>
          <w:tcPr>
            <w:tcW w:w="1220" w:type="dxa"/>
            <w:vAlign w:val="bottom"/>
            <w:tcBorders>
              <w:bottom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2760" w:type="dxa"/>
            <w:vAlign w:val="bottom"/>
            <w:tcBorders>
              <w:bottom w:val="single" w:sz="8" w:color="auto"/>
            </w:tcBorders>
            <w:gridSpan w:val="2"/>
            <w:shd w:val="clear" w:color="auto" w:fill="CCEEFF"/>
          </w:tcPr>
          <w:p>
            <w:pPr>
              <w:jc w:val="right"/>
              <w:ind w:right="1022"/>
              <w:spacing w:after="0"/>
              <w:rPr>
                <w:sz w:val="20"/>
                <w:szCs w:val="20"/>
                <w:color w:val="auto"/>
              </w:rPr>
            </w:pPr>
            <w:r>
              <w:rPr>
                <w:rFonts w:ascii="Times New Roman" w:cs="Times New Roman" w:eastAsia="Times New Roman" w:hAnsi="Times New Roman"/>
                <w:sz w:val="16"/>
                <w:szCs w:val="16"/>
                <w:b w:val="1"/>
                <w:bCs w:val="1"/>
                <w:color w:val="auto"/>
              </w:rPr>
              <w:t>(1,084.0)</w:t>
            </w:r>
          </w:p>
        </w:tc>
        <w:tc>
          <w:tcPr>
            <w:tcW w:w="1560" w:type="dxa"/>
            <w:vAlign w:val="bottom"/>
            <w:tcBorders>
              <w:bottom w:val="single" w:sz="8" w:color="auto"/>
            </w:tcBorders>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0.7</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Stock-Based Compensation</w:t>
      </w:r>
    </w:p>
    <w:p>
      <w:pPr>
        <w:spacing w:after="0" w:line="267" w:lineRule="exact"/>
        <w:rPr>
          <w:sz w:val="20"/>
          <w:szCs w:val="20"/>
          <w:color w:val="auto"/>
        </w:rPr>
      </w:pPr>
    </w:p>
    <w:p>
      <w:pPr>
        <w:jc w:val="both"/>
        <w:ind w:right="20" w:firstLine="582"/>
        <w:spacing w:after="0" w:line="334" w:lineRule="auto"/>
        <w:rPr>
          <w:sz w:val="20"/>
          <w:szCs w:val="20"/>
          <w:color w:val="auto"/>
        </w:rPr>
      </w:pPr>
      <w:r>
        <w:rPr>
          <w:rFonts w:ascii="Times New Roman" w:cs="Times New Roman" w:eastAsia="Times New Roman" w:hAnsi="Times New Roman"/>
          <w:sz w:val="16"/>
          <w:szCs w:val="16"/>
          <w:color w:val="auto"/>
        </w:rPr>
        <w:t>The Company recognizes compensation expense for all stock-based payments granted based on the grant-date fair value estimated in accordance with the provisions of ASC 718-10. Compensation expense is recognized on a straight-line basis over the awards’ estimated lives for fixed awards with ratable vesting provisions.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81280</wp:posOffset>
            </wp:positionV>
            <wp:extent cx="717169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ind w:firstLine="582"/>
        <w:spacing w:after="0" w:line="296" w:lineRule="auto"/>
        <w:rPr>
          <w:sz w:val="20"/>
          <w:szCs w:val="20"/>
          <w:color w:val="auto"/>
        </w:rPr>
      </w:pPr>
      <w:r>
        <w:rPr>
          <w:rFonts w:ascii="Times New Roman" w:cs="Times New Roman" w:eastAsia="Times New Roman" w:hAnsi="Times New Roman"/>
          <w:sz w:val="16"/>
          <w:szCs w:val="16"/>
          <w:color w:val="auto"/>
        </w:rPr>
        <w:t>The Company granted 30,000 restricted stock units (“RSUs”) at a weighted average grant-date fair value of $124.72 per unit for the three months ended October 3, 2026. The Company granted 278,485 RSUs at a weighted average grant-date fair value of $123.19 per unit for the nine months ended October 3, 2026. The Company granted 9,830 RSUs for the three months ended September 27, 2025. The Company granted 314,819 RSUs at a weighted average grant-date fair value of $116.21 per unit for the nine months ended September 27, 2025. The Company recognized stock-based compensation expense related to RSUs of $8.5 million ($6.3 million net of taxes) and $7.5 million ($5.5 million net of taxes) for the three months ended October 3, 2026, and September 27, 2025, respectively, which has been allocated to cost of sales and selling, general and administrative expenses. The Company recognized stock-based compensation expense related to RSUs of $22.7 million ($16.8 million net of taxes) and $22.6 million ($16.7 million net of taxes) for the nine months ended October 3, 2026, and September 27, 2025, respectively, which has been allocated to cost of sales and selling, general and administrative expenses. Pre-tax unrecognized compensation expense for unvested RSUs granted to employees, net of estimated forfeitures, was $31.8 million as of October 3, 2026, and will be recognized as expense over a weighted average period of approximately 2.01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Other Income and Expense,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tcPr>
          <w:p>
            <w:pPr>
              <w:ind w:left="660"/>
              <w:spacing w:after="0"/>
              <w:rPr>
                <w:sz w:val="20"/>
                <w:szCs w:val="20"/>
                <w:color w:val="auto"/>
              </w:rPr>
            </w:pPr>
            <w:r>
              <w:rPr>
                <w:rFonts w:ascii="Times New Roman" w:cs="Times New Roman" w:eastAsia="Times New Roman" w:hAnsi="Times New Roman"/>
                <w:sz w:val="13"/>
                <w:szCs w:val="13"/>
                <w:color w:val="auto"/>
                <w:w w:val="98"/>
              </w:rPr>
              <w:t>Three Months Ended</w:t>
            </w:r>
          </w:p>
        </w:tc>
        <w:tc>
          <w:tcPr>
            <w:tcW w:w="140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Nine Months Ended</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(In millions)</w:t>
            </w: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460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b w:val="1"/>
                <w:bCs w:val="1"/>
                <w:color w:val="auto"/>
              </w:rPr>
              <w:t>October 3, 2026</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September 27, 2025</w:t>
            </w:r>
          </w:p>
        </w:tc>
        <w:tc>
          <w:tcPr>
            <w:tcW w:w="17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3"/>
                <w:szCs w:val="13"/>
                <w:b w:val="1"/>
                <w:bCs w:val="1"/>
                <w:color w:val="auto"/>
              </w:rPr>
              <w:t>October 3, 2026</w:t>
            </w: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7"/>
              </w:rPr>
              <w:t>September 27, 2025</w:t>
            </w: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(gains) losses, net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shd w:val="clear" w:color="auto" w:fill="CCEEFF"/>
          </w:tcPr>
          <w:p>
            <w:pPr>
              <w:jc w:val="center"/>
              <w:ind w:left="226"/>
              <w:spacing w:after="0"/>
              <w:rPr>
                <w:sz w:val="20"/>
                <w:szCs w:val="20"/>
                <w:color w:val="auto"/>
              </w:rPr>
            </w:pPr>
            <w:r>
              <w:rPr>
                <w:rFonts w:ascii="Times New Roman" w:cs="Times New Roman" w:eastAsia="Times New Roman" w:hAnsi="Times New Roman"/>
                <w:sz w:val="16"/>
                <w:szCs w:val="16"/>
                <w:b w:val="1"/>
                <w:bCs w:val="1"/>
                <w:color w:val="auto"/>
                <w:w w:val="97"/>
              </w:rPr>
              <w:t>(1.4)</w:t>
            </w:r>
          </w:p>
        </w:tc>
        <w:tc>
          <w:tcPr>
            <w:tcW w:w="1400" w:type="dxa"/>
            <w:vAlign w:val="bottom"/>
            <w:shd w:val="clear" w:color="auto" w:fill="CCEEFF"/>
          </w:tcPr>
          <w:p>
            <w:pPr>
              <w:jc w:val="center"/>
              <w:ind w:left="283"/>
              <w:spacing w:after="0"/>
              <w:rPr>
                <w:sz w:val="20"/>
                <w:szCs w:val="20"/>
                <w:color w:val="auto"/>
              </w:rPr>
            </w:pPr>
            <w:r>
              <w:rPr>
                <w:rFonts w:ascii="Times New Roman" w:cs="Times New Roman" w:eastAsia="Times New Roman" w:hAnsi="Times New Roman"/>
                <w:sz w:val="16"/>
                <w:szCs w:val="16"/>
                <w:color w:val="auto"/>
                <w:w w:val="99"/>
              </w:rPr>
              <w:t>3.0</w:t>
            </w:r>
          </w:p>
        </w:tc>
        <w:tc>
          <w:tcPr>
            <w:tcW w:w="1780" w:type="dxa"/>
            <w:vAlign w:val="bottom"/>
            <w:shd w:val="clear" w:color="auto" w:fill="CCEEFF"/>
          </w:tcPr>
          <w:p>
            <w:pPr>
              <w:jc w:val="right"/>
              <w:ind w:right="526"/>
              <w:spacing w:after="0"/>
              <w:rPr>
                <w:sz w:val="20"/>
                <w:szCs w:val="20"/>
                <w:color w:val="auto"/>
              </w:rPr>
            </w:pPr>
            <w:r>
              <w:rPr>
                <w:rFonts w:ascii="Times New Roman" w:cs="Times New Roman" w:eastAsia="Times New Roman" w:hAnsi="Times New Roman"/>
                <w:sz w:val="16"/>
                <w:szCs w:val="16"/>
                <w:b w:val="1"/>
                <w:bCs w:val="1"/>
                <w:color w:val="auto"/>
              </w:rPr>
              <w:t>3.6</w:t>
            </w:r>
          </w:p>
        </w:tc>
        <w:tc>
          <w:tcPr>
            <w:tcW w:w="1060" w:type="dxa"/>
            <w:vAlign w:val="bottom"/>
            <w:shd w:val="clear" w:color="auto" w:fill="CCEEFF"/>
          </w:tcPr>
          <w:p>
            <w:pPr>
              <w:jc w:val="center"/>
              <w:ind w:left="663"/>
              <w:spacing w:after="0"/>
              <w:rPr>
                <w:sz w:val="20"/>
                <w:szCs w:val="20"/>
                <w:color w:val="auto"/>
              </w:rPr>
            </w:pPr>
            <w:r>
              <w:rPr>
                <w:rFonts w:ascii="Times New Roman" w:cs="Times New Roman" w:eastAsia="Times New Roman" w:hAnsi="Times New Roman"/>
                <w:sz w:val="16"/>
                <w:szCs w:val="16"/>
                <w:color w:val="auto"/>
                <w:w w:val="99"/>
              </w:rPr>
              <w:t>8.7</w:t>
            </w:r>
          </w:p>
        </w:tc>
        <w:tc>
          <w:tcPr>
            <w:tcW w:w="0" w:type="dxa"/>
            <w:vAlign w:val="bottom"/>
          </w:tcPr>
          <w:p>
            <w:pPr>
              <w:spacing w:after="0"/>
              <w:rPr>
                <w:sz w:val="1"/>
                <w:szCs w:val="1"/>
                <w:color w:val="auto"/>
              </w:rPr>
            </w:pPr>
          </w:p>
        </w:tc>
      </w:tr>
      <w:tr>
        <w:trPr>
          <w:trHeight w:val="206"/>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All other, net</w:t>
            </w:r>
          </w:p>
        </w:tc>
        <w:tc>
          <w:tcPr>
            <w:tcW w:w="4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left="246"/>
              <w:spacing w:after="0"/>
              <w:rPr>
                <w:sz w:val="20"/>
                <w:szCs w:val="20"/>
                <w:color w:val="auto"/>
              </w:rPr>
            </w:pPr>
            <w:r>
              <w:rPr>
                <w:rFonts w:ascii="Times New Roman" w:cs="Times New Roman" w:eastAsia="Times New Roman" w:hAnsi="Times New Roman"/>
                <w:sz w:val="16"/>
                <w:szCs w:val="16"/>
                <w:b w:val="1"/>
                <w:bCs w:val="1"/>
                <w:color w:val="auto"/>
                <w:w w:val="99"/>
              </w:rPr>
              <w:t>4.2</w:t>
            </w:r>
          </w:p>
        </w:tc>
        <w:tc>
          <w:tcPr>
            <w:tcW w:w="1400" w:type="dxa"/>
            <w:vAlign w:val="bottom"/>
            <w:tcBorders>
              <w:bottom w:val="single" w:sz="8" w:color="auto"/>
            </w:tcBorders>
          </w:tcPr>
          <w:p>
            <w:pPr>
              <w:jc w:val="center"/>
              <w:ind w:left="263"/>
              <w:spacing w:after="0"/>
              <w:rPr>
                <w:sz w:val="20"/>
                <w:szCs w:val="20"/>
                <w:color w:val="auto"/>
              </w:rPr>
            </w:pPr>
            <w:r>
              <w:rPr>
                <w:rFonts w:ascii="Times New Roman" w:cs="Times New Roman" w:eastAsia="Times New Roman" w:hAnsi="Times New Roman"/>
                <w:sz w:val="16"/>
                <w:szCs w:val="16"/>
                <w:color w:val="auto"/>
                <w:w w:val="97"/>
              </w:rPr>
              <w:t>(3.4)</w:t>
            </w:r>
          </w:p>
        </w:tc>
        <w:tc>
          <w:tcPr>
            <w:tcW w:w="178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6"/>
                <w:szCs w:val="16"/>
                <w:b w:val="1"/>
                <w:bCs w:val="1"/>
                <w:color w:val="auto"/>
              </w:rPr>
              <w:t>1.1</w:t>
            </w:r>
          </w:p>
        </w:tc>
        <w:tc>
          <w:tcPr>
            <w:tcW w:w="1060" w:type="dxa"/>
            <w:vAlign w:val="bottom"/>
            <w:tcBorders>
              <w:bottom w:val="single" w:sz="8" w:color="auto"/>
            </w:tcBorders>
          </w:tcPr>
          <w:p>
            <w:pPr>
              <w:jc w:val="center"/>
              <w:ind w:left="643"/>
              <w:spacing w:after="0"/>
              <w:rPr>
                <w:sz w:val="20"/>
                <w:szCs w:val="20"/>
                <w:color w:val="auto"/>
              </w:rPr>
            </w:pPr>
            <w:r>
              <w:rPr>
                <w:rFonts w:ascii="Times New Roman" w:cs="Times New Roman" w:eastAsia="Times New Roman" w:hAnsi="Times New Roman"/>
                <w:sz w:val="16"/>
                <w:szCs w:val="16"/>
                <w:color w:val="auto"/>
                <w:w w:val="97"/>
              </w:rPr>
              <w:t>(6.5)</w:t>
            </w:r>
          </w:p>
        </w:tc>
        <w:tc>
          <w:tcPr>
            <w:tcW w:w="0" w:type="dxa"/>
            <w:vAlign w:val="bottom"/>
          </w:tcPr>
          <w:p>
            <w:pPr>
              <w:spacing w:after="0"/>
              <w:rPr>
                <w:sz w:val="1"/>
                <w:szCs w:val="1"/>
                <w:color w:val="auto"/>
              </w:rPr>
            </w:pPr>
          </w:p>
        </w:tc>
      </w:tr>
      <w:tr>
        <w:trPr>
          <w:trHeight w:val="203"/>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and expense, net</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tcBorders>
              <w:bottom w:val="single" w:sz="8" w:color="auto"/>
            </w:tcBorders>
            <w:shd w:val="clear" w:color="auto" w:fill="CCEEFF"/>
          </w:tcPr>
          <w:p>
            <w:pPr>
              <w:jc w:val="center"/>
              <w:ind w:left="246"/>
              <w:spacing w:after="0"/>
              <w:rPr>
                <w:sz w:val="20"/>
                <w:szCs w:val="20"/>
                <w:color w:val="auto"/>
              </w:rPr>
            </w:pPr>
            <w:r>
              <w:rPr>
                <w:rFonts w:ascii="Times New Roman" w:cs="Times New Roman" w:eastAsia="Times New Roman" w:hAnsi="Times New Roman"/>
                <w:sz w:val="16"/>
                <w:szCs w:val="16"/>
                <w:b w:val="1"/>
                <w:bCs w:val="1"/>
                <w:color w:val="auto"/>
                <w:w w:val="99"/>
              </w:rPr>
              <w:t>2.8</w:t>
            </w:r>
          </w:p>
        </w:tc>
        <w:tc>
          <w:tcPr>
            <w:tcW w:w="1400" w:type="dxa"/>
            <w:vAlign w:val="bottom"/>
            <w:tcBorders>
              <w:bottom w:val="single" w:sz="8" w:color="auto"/>
            </w:tcBorders>
            <w:shd w:val="clear" w:color="auto" w:fill="CCEEFF"/>
          </w:tcPr>
          <w:p>
            <w:pPr>
              <w:jc w:val="center"/>
              <w:ind w:left="263"/>
              <w:spacing w:after="0"/>
              <w:rPr>
                <w:sz w:val="20"/>
                <w:szCs w:val="20"/>
                <w:color w:val="auto"/>
              </w:rPr>
            </w:pPr>
            <w:r>
              <w:rPr>
                <w:rFonts w:ascii="Times New Roman" w:cs="Times New Roman" w:eastAsia="Times New Roman" w:hAnsi="Times New Roman"/>
                <w:sz w:val="16"/>
                <w:szCs w:val="16"/>
                <w:color w:val="auto"/>
                <w:w w:val="97"/>
              </w:rPr>
              <w:t>(0.4)</w:t>
            </w:r>
          </w:p>
        </w:tc>
        <w:tc>
          <w:tcPr>
            <w:tcW w:w="1780" w:type="dxa"/>
            <w:vAlign w:val="bottom"/>
            <w:tcBorders>
              <w:bottom w:val="single" w:sz="8" w:color="auto"/>
            </w:tcBorders>
            <w:shd w:val="clear" w:color="auto" w:fill="CCEEFF"/>
          </w:tcPr>
          <w:p>
            <w:pPr>
              <w:jc w:val="right"/>
              <w:ind w:right="526"/>
              <w:spacing w:after="0"/>
              <w:rPr>
                <w:sz w:val="20"/>
                <w:szCs w:val="20"/>
                <w:color w:val="auto"/>
              </w:rPr>
            </w:pPr>
            <w:r>
              <w:rPr>
                <w:rFonts w:ascii="Times New Roman" w:cs="Times New Roman" w:eastAsia="Times New Roman" w:hAnsi="Times New Roman"/>
                <w:sz w:val="16"/>
                <w:szCs w:val="16"/>
                <w:b w:val="1"/>
                <w:bCs w:val="1"/>
                <w:color w:val="auto"/>
              </w:rPr>
              <w:t>4.7</w:t>
            </w:r>
          </w:p>
        </w:tc>
        <w:tc>
          <w:tcPr>
            <w:tcW w:w="1060" w:type="dxa"/>
            <w:vAlign w:val="bottom"/>
            <w:tcBorders>
              <w:bottom w:val="single" w:sz="8" w:color="auto"/>
            </w:tcBorders>
            <w:shd w:val="clear" w:color="auto" w:fill="CCEEFF"/>
          </w:tcPr>
          <w:p>
            <w:pPr>
              <w:jc w:val="center"/>
              <w:ind w:left="663"/>
              <w:spacing w:after="0"/>
              <w:rPr>
                <w:sz w:val="20"/>
                <w:szCs w:val="20"/>
                <w:color w:val="auto"/>
              </w:rPr>
            </w:pPr>
            <w:r>
              <w:rPr>
                <w:rFonts w:ascii="Times New Roman" w:cs="Times New Roman" w:eastAsia="Times New Roman" w:hAnsi="Times New Roman"/>
                <w:sz w:val="16"/>
                <w:szCs w:val="16"/>
                <w:color w:val="auto"/>
                <w:w w:val="99"/>
              </w:rPr>
              <w:t>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Income Taxes</w:t>
      </w:r>
    </w:p>
    <w:p>
      <w:pPr>
        <w:spacing w:after="0" w:line="267" w:lineRule="exact"/>
        <w:rPr>
          <w:sz w:val="20"/>
          <w:szCs w:val="20"/>
          <w:color w:val="auto"/>
        </w:rPr>
      </w:pPr>
    </w:p>
    <w:p>
      <w:pPr>
        <w:jc w:val="both"/>
        <w:ind w:right="20" w:firstLine="582"/>
        <w:spacing w:after="0" w:line="281" w:lineRule="auto"/>
        <w:rPr>
          <w:sz w:val="20"/>
          <w:szCs w:val="20"/>
          <w:color w:val="auto"/>
        </w:rPr>
      </w:pPr>
      <w:r>
        <w:rPr>
          <w:rFonts w:ascii="Times New Roman" w:cs="Times New Roman" w:eastAsia="Times New Roman" w:hAnsi="Times New Roman"/>
          <w:sz w:val="16"/>
          <w:szCs w:val="16"/>
          <w:color w:val="auto"/>
        </w:rPr>
        <w:t>For the three months ended October 3, 2026, the Company recorded income tax expense of $20.1 million on earnings before income taxes of $183.3 million for an effective tax rate of 11.0%. For the three months ended September 27, 2025, the Company recorded income tax expense of $23.3 million on earnings before income taxes of $132.1 million, for an effective tax rate of 17.6%. The decrease in the effective tax rate was primarily attributable to a decrease in unrecognized tax benefits during the three months ended October 3, 2026, and a non-recurring tax benefit recorded during the three months ended October 3, 2026, related to a U.S. tax election. These favorable impacts were partially offset by the Company’s geographic dispersion of profits and losses for the respective periods.</w:t>
      </w:r>
    </w:p>
    <w:p>
      <w:pPr>
        <w:spacing w:after="0" w:line="184" w:lineRule="exact"/>
        <w:rPr>
          <w:sz w:val="20"/>
          <w:szCs w:val="20"/>
          <w:color w:val="auto"/>
        </w:rPr>
      </w:pPr>
    </w:p>
    <w:p>
      <w:pPr>
        <w:jc w:val="both"/>
        <w:ind w:right="20" w:firstLine="582"/>
        <w:spacing w:after="0" w:line="279" w:lineRule="auto"/>
        <w:rPr>
          <w:sz w:val="20"/>
          <w:szCs w:val="20"/>
          <w:color w:val="auto"/>
        </w:rPr>
      </w:pPr>
      <w:r>
        <w:rPr>
          <w:rFonts w:ascii="Times New Roman" w:cs="Times New Roman" w:eastAsia="Times New Roman" w:hAnsi="Times New Roman"/>
          <w:sz w:val="16"/>
          <w:szCs w:val="16"/>
          <w:color w:val="auto"/>
        </w:rPr>
        <w:t>For the nine months ended October 3, 2026, the Company recorded income tax expense of $63.6 million on earnings before income taxes of $540.1 million for an effective tax rate of 11.8%. For the nine months ended September 27, 2025, the Company recorded income tax expense of $74.8 million on earnings before income taxes of $402.7 million for an effective tax rate of 18.6%. The decrease in the effective tax rate was primarily attributable to a decrease in unrecognized tax benefits during the nine months ended October 3, 2026, and tax benefits recognized during the nine months ended October 3, 2026, including (i) a one-time tax benefit associated with a legal entity restructuring initiative, (ii) tax credits issued by the Brazilian government related to prior years, (iii) a foreign tax credit benefit recorded in connection with a U.S. amended return, and (iv) a non-recurring tax benefit related to a U.S. tax election. These favorable impacts were partially offset by the Company’s geographic dispersion of profits and losses for the respective periods.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73660</wp:posOffset>
            </wp:positionV>
            <wp:extent cx="717169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17" w:name="page18"/>
    <w:bookmarkEnd w:id="17"/>
    <w:p>
      <w:pPr>
        <w:ind w:left="3"/>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12. Stockholders’ Equity</w:t>
      </w:r>
    </w:p>
    <w:p>
      <w:pPr>
        <w:spacing w:after="0" w:line="255"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The following tables reflect the changes in stockholders’ equity for the three months ended October 3, 2026, and September 27, 2025:</w:t>
      </w:r>
    </w:p>
    <w:p>
      <w:pPr>
        <w:spacing w:after="0" w:line="200" w:lineRule="exact"/>
        <w:rPr>
          <w:sz w:val="20"/>
          <w:szCs w:val="20"/>
          <w:color w:val="auto"/>
        </w:rPr>
      </w:pPr>
    </w:p>
    <w:p>
      <w:pPr>
        <w:spacing w:after="0" w:line="247" w:lineRule="exact"/>
        <w:rPr>
          <w:sz w:val="20"/>
          <w:szCs w:val="20"/>
          <w:color w:val="auto"/>
        </w:rPr>
      </w:pPr>
    </w:p>
    <w:tbl>
      <w:tblPr>
        <w:tblLayout w:type="fixed"/>
        <w:tblInd w:w="3"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4"/>
              <w:spacing w:after="0"/>
              <w:rPr>
                <w:sz w:val="20"/>
                <w:szCs w:val="20"/>
                <w:color w:val="auto"/>
              </w:rPr>
            </w:pPr>
            <w:r>
              <w:rPr>
                <w:rFonts w:ascii="Times New Roman" w:cs="Times New Roman" w:eastAsia="Times New Roman" w:hAnsi="Times New Roman"/>
                <w:sz w:val="11"/>
                <w:szCs w:val="11"/>
                <w:color w:val="auto"/>
              </w:rPr>
              <w:t>Additional</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3"/>
          </w:tcPr>
          <w:p>
            <w:pPr>
              <w:jc w:val="right"/>
              <w:ind w:right="380"/>
              <w:spacing w:after="0" w:line="121" w:lineRule="exact"/>
              <w:rPr>
                <w:sz w:val="20"/>
                <w:szCs w:val="20"/>
                <w:color w:val="auto"/>
              </w:rPr>
            </w:pPr>
            <w:r>
              <w:rPr>
                <w:rFonts w:ascii="Times New Roman" w:cs="Times New Roman" w:eastAsia="Times New Roman" w:hAnsi="Times New Roman"/>
                <w:sz w:val="11"/>
                <w:szCs w:val="11"/>
                <w:color w:val="auto"/>
              </w:rPr>
              <w:t>Accumulated</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color w:val="auto"/>
                <w:w w:val="94"/>
              </w:rPr>
              <w:t>Total</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gridSpan w:val="3"/>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Common Stock</w:t>
            </w: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3"/>
          </w:tcPr>
          <w:p>
            <w:pPr>
              <w:jc w:val="right"/>
              <w:ind w:right="380"/>
              <w:spacing w:after="0" w:line="110" w:lineRule="exact"/>
              <w:rPr>
                <w:sz w:val="20"/>
                <w:szCs w:val="20"/>
                <w:color w:val="auto"/>
              </w:rPr>
            </w:pPr>
            <w:r>
              <w:rPr>
                <w:rFonts w:ascii="Times New Roman" w:cs="Times New Roman" w:eastAsia="Times New Roman" w:hAnsi="Times New Roman"/>
                <w:sz w:val="11"/>
                <w:szCs w:val="11"/>
                <w:color w:val="auto"/>
              </w:rPr>
              <w:t>Other</w:t>
            </w:r>
          </w:p>
        </w:tc>
        <w:tc>
          <w:tcPr>
            <w:tcW w:w="1000" w:type="dxa"/>
            <w:vAlign w:val="bottom"/>
            <w:gridSpan w:val="3"/>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w w:val="98"/>
              </w:rPr>
              <w:t>Treasury Stock</w:t>
            </w:r>
          </w:p>
        </w:tc>
        <w:tc>
          <w:tcPr>
            <w:tcW w:w="2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88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right"/>
              <w:ind w:right="4"/>
              <w:spacing w:after="0" w:line="90" w:lineRule="exact"/>
              <w:rPr>
                <w:sz w:val="20"/>
                <w:szCs w:val="20"/>
                <w:color w:val="auto"/>
              </w:rPr>
            </w:pPr>
            <w:r>
              <w:rPr>
                <w:rFonts w:ascii="Times New Roman" w:cs="Times New Roman" w:eastAsia="Times New Roman" w:hAnsi="Times New Roman"/>
                <w:sz w:val="10"/>
                <w:szCs w:val="10"/>
                <w:color w:val="auto"/>
              </w:rPr>
              <w:t>Paid-in</w:t>
            </w:r>
          </w:p>
        </w:tc>
        <w:tc>
          <w:tcPr>
            <w:tcW w:w="100" w:type="dxa"/>
            <w:vAlign w:val="bottom"/>
          </w:tcPr>
          <w:p>
            <w:pPr>
              <w:spacing w:after="0"/>
              <w:rPr>
                <w:sz w:val="7"/>
                <w:szCs w:val="7"/>
                <w:color w:val="auto"/>
              </w:rPr>
            </w:pPr>
          </w:p>
        </w:tc>
        <w:tc>
          <w:tcPr>
            <w:tcW w:w="620" w:type="dxa"/>
            <w:vAlign w:val="bottom"/>
          </w:tcPr>
          <w:p>
            <w:pPr>
              <w:jc w:val="right"/>
              <w:ind w:right="4"/>
              <w:spacing w:after="0" w:line="90" w:lineRule="exact"/>
              <w:rPr>
                <w:sz w:val="20"/>
                <w:szCs w:val="20"/>
                <w:color w:val="auto"/>
              </w:rPr>
            </w:pPr>
            <w:r>
              <w:rPr>
                <w:rFonts w:ascii="Times New Roman" w:cs="Times New Roman" w:eastAsia="Times New Roman" w:hAnsi="Times New Roman"/>
                <w:sz w:val="10"/>
                <w:szCs w:val="10"/>
                <w:color w:val="auto"/>
              </w:rPr>
              <w:t>Retained</w:t>
            </w:r>
          </w:p>
        </w:tc>
        <w:tc>
          <w:tcPr>
            <w:tcW w:w="140" w:type="dxa"/>
            <w:vAlign w:val="bottom"/>
          </w:tcPr>
          <w:p>
            <w:pPr>
              <w:spacing w:after="0"/>
              <w:rPr>
                <w:sz w:val="7"/>
                <w:szCs w:val="7"/>
                <w:color w:val="auto"/>
              </w:rPr>
            </w:pPr>
          </w:p>
        </w:tc>
        <w:tc>
          <w:tcPr>
            <w:tcW w:w="960" w:type="dxa"/>
            <w:vAlign w:val="bottom"/>
          </w:tcPr>
          <w:p>
            <w:pPr>
              <w:jc w:val="right"/>
              <w:ind w:right="4"/>
              <w:spacing w:after="0" w:line="90" w:lineRule="exact"/>
              <w:rPr>
                <w:sz w:val="20"/>
                <w:szCs w:val="20"/>
                <w:color w:val="auto"/>
              </w:rPr>
            </w:pPr>
            <w:r>
              <w:rPr>
                <w:rFonts w:ascii="Times New Roman" w:cs="Times New Roman" w:eastAsia="Times New Roman" w:hAnsi="Times New Roman"/>
                <w:sz w:val="10"/>
                <w:szCs w:val="10"/>
                <w:color w:val="auto"/>
              </w:rPr>
              <w:t>Comprehensive</w:t>
            </w:r>
          </w:p>
        </w:tc>
        <w:tc>
          <w:tcPr>
            <w:tcW w:w="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gridSpan w:val="3"/>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jc w:val="right"/>
              <w:ind w:right="144"/>
              <w:spacing w:after="0" w:line="90" w:lineRule="exact"/>
              <w:rPr>
                <w:sz w:val="20"/>
                <w:szCs w:val="20"/>
                <w:color w:val="auto"/>
              </w:rPr>
            </w:pPr>
            <w:r>
              <w:rPr>
                <w:rFonts w:ascii="Times New Roman" w:cs="Times New Roman" w:eastAsia="Times New Roman" w:hAnsi="Times New Roman"/>
                <w:sz w:val="10"/>
                <w:szCs w:val="10"/>
                <w:color w:val="auto"/>
              </w:rPr>
              <w:t>Noncontrolling</w:t>
            </w:r>
          </w:p>
        </w:tc>
        <w:tc>
          <w:tcPr>
            <w:tcW w:w="120" w:type="dxa"/>
            <w:vAlign w:val="bottom"/>
          </w:tcPr>
          <w:p>
            <w:pPr>
              <w:spacing w:after="0"/>
              <w:rPr>
                <w:sz w:val="7"/>
                <w:szCs w:val="7"/>
                <w:color w:val="auto"/>
              </w:rPr>
            </w:pPr>
          </w:p>
        </w:tc>
        <w:tc>
          <w:tcPr>
            <w:tcW w:w="860" w:type="dxa"/>
            <w:vAlign w:val="bottom"/>
            <w:gridSpan w:val="2"/>
          </w:tcPr>
          <w:p>
            <w:pPr>
              <w:jc w:val="center"/>
              <w:ind w:right="200"/>
              <w:spacing w:after="0" w:line="90" w:lineRule="exact"/>
              <w:rPr>
                <w:sz w:val="20"/>
                <w:szCs w:val="20"/>
                <w:color w:val="auto"/>
              </w:rPr>
            </w:pPr>
            <w:r>
              <w:rPr>
                <w:rFonts w:ascii="Times New Roman" w:cs="Times New Roman" w:eastAsia="Times New Roman" w:hAnsi="Times New Roman"/>
                <w:sz w:val="10"/>
                <w:szCs w:val="10"/>
                <w:color w:val="auto"/>
              </w:rPr>
              <w:t>Stockholders’</w:t>
            </w:r>
          </w:p>
        </w:tc>
        <w:tc>
          <w:tcPr>
            <w:tcW w:w="0" w:type="dxa"/>
            <w:vAlign w:val="bottom"/>
          </w:tcPr>
          <w:p>
            <w:pPr>
              <w:spacing w:after="0"/>
              <w:rPr>
                <w:sz w:val="1"/>
                <w:szCs w:val="1"/>
                <w:color w:val="auto"/>
              </w:rPr>
            </w:pPr>
          </w:p>
        </w:tc>
      </w:tr>
      <w:tr>
        <w:trPr>
          <w:trHeight w:val="164"/>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 millions)</w:t>
            </w: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Shares</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Amount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Capital</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Earnings</w:t>
            </w:r>
          </w:p>
        </w:tc>
        <w:tc>
          <w:tcPr>
            <w:tcW w:w="140" w:type="dxa"/>
            <w:vAlign w:val="bottom"/>
          </w:tcPr>
          <w:p>
            <w:pPr>
              <w:spacing w:after="0"/>
              <w:rPr>
                <w:sz w:val="14"/>
                <w:szCs w:val="14"/>
                <w:color w:val="auto"/>
              </w:rPr>
            </w:pP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color w:val="auto"/>
              </w:rPr>
              <w:t>Income (Loss)</w:t>
            </w:r>
          </w:p>
        </w:tc>
        <w:tc>
          <w:tcPr>
            <w:tcW w:w="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Shares</w:t>
            </w:r>
          </w:p>
        </w:tc>
        <w:tc>
          <w:tcPr>
            <w:tcW w:w="160" w:type="dxa"/>
            <w:vAlign w:val="bottom"/>
          </w:tcPr>
          <w:p>
            <w:pPr>
              <w:spacing w:after="0"/>
              <w:rPr>
                <w:sz w:val="14"/>
                <w:szCs w:val="14"/>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Amount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04"/>
              <w:spacing w:after="0"/>
              <w:rPr>
                <w:sz w:val="20"/>
                <w:szCs w:val="20"/>
                <w:color w:val="auto"/>
              </w:rPr>
            </w:pPr>
            <w:r>
              <w:rPr>
                <w:rFonts w:ascii="Times New Roman" w:cs="Times New Roman" w:eastAsia="Times New Roman" w:hAnsi="Times New Roman"/>
                <w:sz w:val="11"/>
                <w:szCs w:val="11"/>
                <w:color w:val="auto"/>
              </w:rPr>
              <w:t>Interests</w:t>
            </w:r>
          </w:p>
        </w:tc>
        <w:tc>
          <w:tcPr>
            <w:tcW w:w="12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Equity</w:t>
            </w:r>
          </w:p>
        </w:tc>
        <w:tc>
          <w:tcPr>
            <w:tcW w:w="0" w:type="dxa"/>
            <w:vAlign w:val="bottom"/>
          </w:tcPr>
          <w:p>
            <w:pPr>
              <w:spacing w:after="0"/>
              <w:rPr>
                <w:sz w:val="1"/>
                <w:szCs w:val="1"/>
                <w:color w:val="auto"/>
              </w:rPr>
            </w:pPr>
          </w:p>
        </w:tc>
      </w:tr>
      <w:tr>
        <w:trPr>
          <w:trHeight w:val="155"/>
        </w:trPr>
        <w:tc>
          <w:tcPr>
            <w:tcW w:w="3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July 4, 2026</w:t>
            </w:r>
          </w:p>
        </w:tc>
        <w:tc>
          <w:tcPr>
            <w:tcW w:w="680" w:type="dxa"/>
            <w:vAlign w:val="bottom"/>
            <w:tcBorders>
              <w:top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67.8</w:t>
            </w: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0.7</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2,000.4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7,691.7</w:t>
            </w: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(937.1)</w:t>
            </w:r>
          </w:p>
        </w:tc>
        <w:tc>
          <w:tcPr>
            <w:tcW w:w="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(7.3)</w:t>
            </w: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(215.0)</w:t>
            </w: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4.0</w:t>
            </w: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8,544.7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90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color w:val="auto"/>
              </w:rPr>
              <w:t>Shares issued under employee and director stock plans, net of shares withheld to pay</w:t>
            </w:r>
          </w:p>
        </w:tc>
        <w:tc>
          <w:tcPr>
            <w:tcW w:w="20" w:type="dxa"/>
            <w:vAlign w:val="bottom"/>
          </w:tcPr>
          <w:p>
            <w:pPr>
              <w:spacing w:after="0"/>
              <w:rPr>
                <w:sz w:val="9"/>
                <w:szCs w:val="9"/>
                <w:color w:val="auto"/>
              </w:rPr>
            </w:pPr>
          </w:p>
        </w:tc>
        <w:tc>
          <w:tcPr>
            <w:tcW w:w="6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9"/>
                <w:szCs w:val="9"/>
                <w:color w:val="auto"/>
              </w:rPr>
            </w:pPr>
          </w:p>
        </w:tc>
        <w:tc>
          <w:tcPr>
            <w:tcW w:w="5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(0.1)</w:t>
            </w:r>
          </w:p>
        </w:tc>
        <w:tc>
          <w:tcPr>
            <w:tcW w:w="100" w:type="dxa"/>
            <w:vAlign w:val="bottom"/>
          </w:tcPr>
          <w:p>
            <w:pPr>
              <w:spacing w:after="0"/>
              <w:rPr>
                <w:sz w:val="9"/>
                <w:szCs w:val="9"/>
                <w:color w:val="auto"/>
              </w:rPr>
            </w:pPr>
          </w:p>
        </w:tc>
        <w:tc>
          <w:tcPr>
            <w:tcW w:w="620" w:type="dxa"/>
            <w:vAlign w:val="bottom"/>
            <w:vMerge w:val="restart"/>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1280" w:type="dxa"/>
            <w:vAlign w:val="bottom"/>
            <w:gridSpan w:val="3"/>
            <w:vMerge w:val="restart"/>
          </w:tcPr>
          <w:p>
            <w:pPr>
              <w:ind w:left="84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9"/>
                <w:szCs w:val="9"/>
                <w:color w:val="auto"/>
              </w:rPr>
            </w:pPr>
          </w:p>
        </w:tc>
        <w:tc>
          <w:tcPr>
            <w:tcW w:w="5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restart"/>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(0.1)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taxes on employees’ equity awards</w:t>
            </w:r>
          </w:p>
        </w:tc>
        <w:tc>
          <w:tcPr>
            <w:tcW w:w="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390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8.6</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3"/>
                <w:szCs w:val="13"/>
                <w:color w:val="auto"/>
              </w:rPr>
            </w:pPr>
          </w:p>
        </w:tc>
        <w:tc>
          <w:tcPr>
            <w:tcW w:w="12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Repurchases of common stock</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w:t>
            </w:r>
          </w:p>
        </w:tc>
        <w:tc>
          <w:tcPr>
            <w:tcW w:w="16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(263.8)</w:t>
            </w:r>
          </w:p>
        </w:tc>
        <w:tc>
          <w:tcPr>
            <w:tcW w:w="140" w:type="dxa"/>
            <w:vAlign w:val="bottom"/>
          </w:tcPr>
          <w:p>
            <w:pPr>
              <w:spacing w:after="0"/>
              <w:rPr>
                <w:sz w:val="13"/>
                <w:szCs w:val="13"/>
                <w:color w:val="auto"/>
              </w:rPr>
            </w:pPr>
          </w:p>
        </w:tc>
        <w:tc>
          <w:tcPr>
            <w:tcW w:w="1280" w:type="dxa"/>
            <w:vAlign w:val="bottom"/>
            <w:gridSpan w:val="3"/>
          </w:tcPr>
          <w:p>
            <w:pPr>
              <w:ind w:left="84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3"/>
                <w:szCs w:val="13"/>
                <w:color w:val="auto"/>
              </w:rPr>
            </w:pP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(263.8)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earnings attributable to noncontrolling interests</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0.1</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Currency translation adjustment on noncontrolling interests</w:t>
            </w:r>
          </w:p>
        </w:tc>
        <w:tc>
          <w:tcPr>
            <w:tcW w:w="2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2"/>
                <w:szCs w:val="12"/>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2"/>
                <w:szCs w:val="12"/>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2"/>
                <w:szCs w:val="12"/>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2"/>
                <w:szCs w:val="12"/>
                <w:color w:val="auto"/>
              </w:rPr>
            </w:pPr>
          </w:p>
        </w:tc>
        <w:tc>
          <w:tcPr>
            <w:tcW w:w="1280" w:type="dxa"/>
            <w:vAlign w:val="bottom"/>
            <w:gridSpan w:val="3"/>
          </w:tcPr>
          <w:p>
            <w:pPr>
              <w:ind w:left="84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2"/>
                <w:szCs w:val="12"/>
                <w:color w:val="auto"/>
              </w:rPr>
            </w:pP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2"/>
                <w:szCs w:val="12"/>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De-consolidation of noncontrolling interest</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Currency translation adjustment</w:t>
            </w:r>
          </w:p>
        </w:tc>
        <w:tc>
          <w:tcPr>
            <w:tcW w:w="2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2"/>
                <w:szCs w:val="12"/>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2"/>
                <w:szCs w:val="12"/>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2"/>
                <w:szCs w:val="12"/>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(146.2)</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2"/>
                <w:szCs w:val="12"/>
                <w:color w:val="auto"/>
              </w:rPr>
            </w:pP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Prior pension and post-retirement benefit service cost and actuarial loss</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color w:val="auto"/>
              </w:rPr>
              <w:t>Net earnings</w:t>
            </w:r>
          </w:p>
        </w:tc>
        <w:tc>
          <w:tcPr>
            <w:tcW w:w="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163.1</w:t>
            </w: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163.1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9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October 3, 2026</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65.8</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0.7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2,008.9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7,591.0</w:t>
            </w: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(1,083.3)</w:t>
            </w:r>
          </w:p>
        </w:tc>
        <w:tc>
          <w:tcPr>
            <w:tcW w:w="2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(7.3)</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(215.0)</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4.1</w:t>
            </w: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8,306.4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4"/>
          </w:tcPr>
          <w:p>
            <w:pPr>
              <w:jc w:val="right"/>
              <w:ind w:right="283"/>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center"/>
              <w:ind w:right="64"/>
              <w:spacing w:after="0"/>
              <w:rPr>
                <w:sz w:val="20"/>
                <w:szCs w:val="20"/>
                <w:color w:val="auto"/>
              </w:rPr>
            </w:pPr>
            <w:r>
              <w:rPr>
                <w:rFonts w:ascii="Times New Roman" w:cs="Times New Roman" w:eastAsia="Times New Roman" w:hAnsi="Times New Roman"/>
                <w:sz w:val="11"/>
                <w:szCs w:val="11"/>
                <w:color w:val="auto"/>
              </w:rPr>
              <w:t>Additional</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3"/>
          </w:tcPr>
          <w:p>
            <w:pPr>
              <w:jc w:val="right"/>
              <w:ind w:right="340"/>
              <w:spacing w:after="0" w:line="121" w:lineRule="exact"/>
              <w:rPr>
                <w:sz w:val="20"/>
                <w:szCs w:val="20"/>
                <w:color w:val="auto"/>
              </w:rPr>
            </w:pPr>
            <w:r>
              <w:rPr>
                <w:rFonts w:ascii="Times New Roman" w:cs="Times New Roman" w:eastAsia="Times New Roman" w:hAnsi="Times New Roman"/>
                <w:sz w:val="11"/>
                <w:szCs w:val="11"/>
                <w:color w:val="auto"/>
              </w:rPr>
              <w:t>Accumulated</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gridSpan w:val="3"/>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Common Stock</w:t>
            </w: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3"/>
          </w:tcPr>
          <w:p>
            <w:pPr>
              <w:jc w:val="right"/>
              <w:ind w:right="340"/>
              <w:spacing w:after="0" w:line="110" w:lineRule="exact"/>
              <w:rPr>
                <w:sz w:val="20"/>
                <w:szCs w:val="20"/>
                <w:color w:val="auto"/>
              </w:rPr>
            </w:pPr>
            <w:r>
              <w:rPr>
                <w:rFonts w:ascii="Times New Roman" w:cs="Times New Roman" w:eastAsia="Times New Roman" w:hAnsi="Times New Roman"/>
                <w:sz w:val="11"/>
                <w:szCs w:val="11"/>
                <w:color w:val="auto"/>
              </w:rPr>
              <w:t>Other</w:t>
            </w:r>
          </w:p>
        </w:tc>
        <w:tc>
          <w:tcPr>
            <w:tcW w:w="102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color w:val="auto"/>
              </w:rPr>
              <w:t>Treasury Stock</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88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tcBorders>
              <w:bottom w:val="single" w:sz="8" w:color="auto"/>
            </w:tcBorders>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center"/>
              <w:ind w:right="64"/>
              <w:spacing w:after="0" w:line="90" w:lineRule="exact"/>
              <w:rPr>
                <w:sz w:val="20"/>
                <w:szCs w:val="20"/>
                <w:color w:val="auto"/>
              </w:rPr>
            </w:pPr>
            <w:r>
              <w:rPr>
                <w:rFonts w:ascii="Times New Roman" w:cs="Times New Roman" w:eastAsia="Times New Roman" w:hAnsi="Times New Roman"/>
                <w:sz w:val="10"/>
                <w:szCs w:val="10"/>
                <w:color w:val="auto"/>
              </w:rPr>
              <w:t>Paid-in</w:t>
            </w:r>
          </w:p>
        </w:tc>
        <w:tc>
          <w:tcPr>
            <w:tcW w:w="100" w:type="dxa"/>
            <w:vAlign w:val="bottom"/>
          </w:tcPr>
          <w:p>
            <w:pPr>
              <w:spacing w:after="0"/>
              <w:rPr>
                <w:sz w:val="7"/>
                <w:szCs w:val="7"/>
                <w:color w:val="auto"/>
              </w:rPr>
            </w:pPr>
          </w:p>
        </w:tc>
        <w:tc>
          <w:tcPr>
            <w:tcW w:w="620" w:type="dxa"/>
            <w:vAlign w:val="bottom"/>
          </w:tcPr>
          <w:p>
            <w:pPr>
              <w:jc w:val="right"/>
              <w:ind w:right="104"/>
              <w:spacing w:after="0" w:line="90" w:lineRule="exact"/>
              <w:rPr>
                <w:sz w:val="20"/>
                <w:szCs w:val="20"/>
                <w:color w:val="auto"/>
              </w:rPr>
            </w:pPr>
            <w:r>
              <w:rPr>
                <w:rFonts w:ascii="Times New Roman" w:cs="Times New Roman" w:eastAsia="Times New Roman" w:hAnsi="Times New Roman"/>
                <w:sz w:val="10"/>
                <w:szCs w:val="10"/>
                <w:color w:val="auto"/>
              </w:rPr>
              <w:t>Retained</w:t>
            </w:r>
          </w:p>
        </w:tc>
        <w:tc>
          <w:tcPr>
            <w:tcW w:w="140" w:type="dxa"/>
            <w:vAlign w:val="bottom"/>
          </w:tcPr>
          <w:p>
            <w:pPr>
              <w:spacing w:after="0"/>
              <w:rPr>
                <w:sz w:val="7"/>
                <w:szCs w:val="7"/>
                <w:color w:val="auto"/>
              </w:rPr>
            </w:pPr>
          </w:p>
        </w:tc>
        <w:tc>
          <w:tcPr>
            <w:tcW w:w="980" w:type="dxa"/>
            <w:vAlign w:val="bottom"/>
            <w:gridSpan w:val="2"/>
          </w:tcPr>
          <w:p>
            <w:pPr>
              <w:jc w:val="right"/>
              <w:ind w:right="40"/>
              <w:spacing w:after="0" w:line="90" w:lineRule="exact"/>
              <w:rPr>
                <w:sz w:val="20"/>
                <w:szCs w:val="20"/>
                <w:color w:val="auto"/>
              </w:rPr>
            </w:pPr>
            <w:r>
              <w:rPr>
                <w:rFonts w:ascii="Times New Roman" w:cs="Times New Roman" w:eastAsia="Times New Roman" w:hAnsi="Times New Roman"/>
                <w:sz w:val="10"/>
                <w:szCs w:val="10"/>
                <w:color w:val="auto"/>
              </w:rPr>
              <w:t>Comprehensive</w:t>
            </w:r>
          </w:p>
        </w:tc>
        <w:tc>
          <w:tcPr>
            <w:tcW w:w="3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4"/>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jc w:val="right"/>
              <w:ind w:right="124"/>
              <w:spacing w:after="0" w:line="90" w:lineRule="exact"/>
              <w:rPr>
                <w:sz w:val="20"/>
                <w:szCs w:val="20"/>
                <w:color w:val="auto"/>
              </w:rPr>
            </w:pPr>
            <w:r>
              <w:rPr>
                <w:rFonts w:ascii="Times New Roman" w:cs="Times New Roman" w:eastAsia="Times New Roman" w:hAnsi="Times New Roman"/>
                <w:sz w:val="10"/>
                <w:szCs w:val="10"/>
                <w:color w:val="auto"/>
              </w:rPr>
              <w:t>Noncontrolling</w:t>
            </w:r>
          </w:p>
        </w:tc>
        <w:tc>
          <w:tcPr>
            <w:tcW w:w="120" w:type="dxa"/>
            <w:vAlign w:val="bottom"/>
          </w:tcPr>
          <w:p>
            <w:pPr>
              <w:spacing w:after="0"/>
              <w:rPr>
                <w:sz w:val="7"/>
                <w:szCs w:val="7"/>
                <w:color w:val="auto"/>
              </w:rPr>
            </w:pPr>
          </w:p>
        </w:tc>
        <w:tc>
          <w:tcPr>
            <w:tcW w:w="860" w:type="dxa"/>
            <w:vAlign w:val="bottom"/>
            <w:gridSpan w:val="2"/>
          </w:tcPr>
          <w:p>
            <w:pPr>
              <w:jc w:val="center"/>
              <w:ind w:right="140"/>
              <w:spacing w:after="0" w:line="90" w:lineRule="exact"/>
              <w:rPr>
                <w:sz w:val="20"/>
                <w:szCs w:val="20"/>
                <w:color w:val="auto"/>
              </w:rPr>
            </w:pPr>
            <w:r>
              <w:rPr>
                <w:rFonts w:ascii="Times New Roman" w:cs="Times New Roman" w:eastAsia="Times New Roman" w:hAnsi="Times New Roman"/>
                <w:sz w:val="10"/>
                <w:szCs w:val="10"/>
                <w:color w:val="auto"/>
              </w:rPr>
              <w:t>Stockholders’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(in millions)</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Shares</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Amount</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1"/>
                <w:szCs w:val="11"/>
                <w:color w:val="auto"/>
              </w:rPr>
              <w:t>Capital</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94"/>
              </w:rPr>
              <w:t xml:space="preserve">Earnings </w:t>
            </w:r>
            <w:r>
              <w:rPr>
                <w:rFonts w:ascii="Times New Roman" w:cs="Times New Roman" w:eastAsia="Times New Roman" w:hAnsi="Times New Roman"/>
                <w:sz w:val="14"/>
                <w:szCs w:val="14"/>
                <w:color w:val="auto"/>
                <w:w w:val="94"/>
                <w:vertAlign w:val="superscript"/>
              </w:rPr>
              <w:t>(1)</w:t>
            </w: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1"/>
                <w:szCs w:val="11"/>
                <w:color w:val="auto"/>
              </w:rPr>
              <w:t>Income (Loss)</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Shares</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color w:val="auto"/>
                <w:w w:val="99"/>
              </w:rPr>
              <w:t>Amount</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rPr>
              <w:t>Interests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1"/>
                <w:szCs w:val="11"/>
                <w:color w:val="auto"/>
              </w:rPr>
              <w:t>Equity</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June 28, 2025</w:t>
            </w:r>
          </w:p>
        </w:tc>
        <w:tc>
          <w:tcPr>
            <w:tcW w:w="6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69.5</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1,978.1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7,434.0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(947.6)</w:t>
            </w:r>
          </w:p>
        </w:tc>
        <w:tc>
          <w:tcPr>
            <w:tcW w:w="3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w w:val="99"/>
              </w:rPr>
              <w:t>(215.2)</w:t>
            </w: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8,255.5</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88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Shares issued under employee and director stock plans, net of shares withheld to pay</w:t>
            </w:r>
          </w:p>
        </w:tc>
        <w:tc>
          <w:tcPr>
            <w:tcW w:w="20" w:type="dxa"/>
            <w:vAlign w:val="bottom"/>
          </w:tcPr>
          <w:p>
            <w:pPr>
              <w:spacing w:after="0"/>
              <w:rPr>
                <w:sz w:val="9"/>
                <w:szCs w:val="9"/>
                <w:color w:val="auto"/>
              </w:rPr>
            </w:pPr>
          </w:p>
        </w:tc>
        <w:tc>
          <w:tcPr>
            <w:tcW w:w="6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5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128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taxes on employees’ equity awards</w:t>
            </w:r>
          </w:p>
        </w:tc>
        <w:tc>
          <w:tcPr>
            <w:tcW w:w="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8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1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Repurchases of common stock</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6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(40.6)</w:t>
            </w:r>
          </w:p>
        </w:tc>
        <w:tc>
          <w:tcPr>
            <w:tcW w:w="140" w:type="dxa"/>
            <w:vAlign w:val="bottom"/>
          </w:tcPr>
          <w:p>
            <w:pPr>
              <w:spacing w:after="0"/>
              <w:rPr>
                <w:sz w:val="13"/>
                <w:szCs w:val="13"/>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(40.6)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earnings attributable to noncontrolling interests</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Currency translation adjustment on noncontrolling interests</w:t>
            </w:r>
          </w:p>
        </w:tc>
        <w:tc>
          <w:tcPr>
            <w:tcW w:w="2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2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De-consolidation of noncontrolling interests</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Currency translation adjustment</w:t>
            </w:r>
          </w:p>
        </w:tc>
        <w:tc>
          <w:tcPr>
            <w:tcW w:w="2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(32.0)</w:t>
            </w:r>
          </w:p>
        </w:tc>
        <w:tc>
          <w:tcPr>
            <w:tcW w:w="3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(32.0)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Prior pension and post-retirement benefit service cost and actuarial gain</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Net earnings</w:t>
            </w:r>
          </w:p>
        </w:tc>
        <w:tc>
          <w:tcPr>
            <w:tcW w:w="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108.8</w:t>
            </w: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108.8</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September 27, 2025</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69.2</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1,985.4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(979.6)</w:t>
            </w:r>
          </w:p>
        </w:tc>
        <w:tc>
          <w:tcPr>
            <w:tcW w:w="30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w w:val="99"/>
              </w:rPr>
              <w:t>(215.2)</w:t>
            </w: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8,298.9</w:t>
            </w:r>
          </w:p>
        </w:tc>
        <w:tc>
          <w:tcPr>
            <w:tcW w:w="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123" w:hanging="123"/>
        <w:spacing w:after="0"/>
        <w:tabs>
          <w:tab w:leader="none" w:pos="123" w:val="left"/>
        </w:tabs>
        <w:numPr>
          <w:ilvl w:val="0"/>
          <w:numId w:val="7"/>
        </w:numPr>
        <w:rPr>
          <w:rFonts w:ascii="Times New Roman" w:cs="Times New Roman" w:eastAsia="Times New Roman" w:hAnsi="Times New Roman"/>
          <w:sz w:val="8"/>
          <w:szCs w:val="8"/>
          <w:color w:val="auto"/>
        </w:rPr>
      </w:pPr>
      <w:r>
        <w:rPr>
          <w:rFonts w:ascii="Times New Roman" w:cs="Times New Roman" w:eastAsia="Times New Roman" w:hAnsi="Times New Roman"/>
          <w:sz w:val="13"/>
          <w:szCs w:val="13"/>
          <w:color w:val="auto"/>
        </w:rPr>
        <w:t>The Retained Earnings balance as of June 28, 2025 has been revised. See Note 1, "</w:t>
      </w:r>
      <w:r>
        <w:rPr>
          <w:rFonts w:ascii="Times New Roman" w:cs="Times New Roman" w:eastAsia="Times New Roman" w:hAnsi="Times New Roman"/>
          <w:sz w:val="13"/>
          <w:szCs w:val="13"/>
          <w:i w:val="1"/>
          <w:iCs w:val="1"/>
          <w:color w:val="auto"/>
        </w:rPr>
        <w:t>General - Revision of Previously Issued Financial Statements</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99"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81280</wp:posOffset>
            </wp:positionV>
            <wp:extent cx="717169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23"/>
          </w:cols>
          <w:pgMar w:left="317" w:top="135"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tables reflect the changes in stockholders’ equity for the nine months ended October 3, 2026, and September 27, 2025: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Total Stockholders' Equity</w:t>
            </w: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Additional</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jc w:val="center"/>
              <w:ind w:right="60"/>
              <w:spacing w:after="0" w:line="121" w:lineRule="exact"/>
              <w:rPr>
                <w:sz w:val="20"/>
                <w:szCs w:val="20"/>
                <w:color w:val="auto"/>
              </w:rPr>
            </w:pPr>
            <w:r>
              <w:rPr>
                <w:rFonts w:ascii="Times New Roman" w:cs="Times New Roman" w:eastAsia="Times New Roman" w:hAnsi="Times New Roman"/>
                <w:sz w:val="11"/>
                <w:szCs w:val="11"/>
                <w:color w:val="auto"/>
              </w:rPr>
              <w:t>Accumulated</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restart"/>
          </w:tcPr>
          <w:p>
            <w:pPr>
              <w:jc w:val="center"/>
              <w:ind w:right="124"/>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340" w:type="dxa"/>
            <w:vAlign w:val="bottom"/>
            <w:gridSpan w:val="3"/>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Common Stock</w:t>
            </w: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2"/>
          </w:tcPr>
          <w:p>
            <w:pPr>
              <w:jc w:val="right"/>
              <w:ind w:right="360"/>
              <w:spacing w:after="0" w:line="110" w:lineRule="exact"/>
              <w:rPr>
                <w:sz w:val="20"/>
                <w:szCs w:val="20"/>
                <w:color w:val="auto"/>
              </w:rPr>
            </w:pPr>
            <w:r>
              <w:rPr>
                <w:rFonts w:ascii="Times New Roman" w:cs="Times New Roman" w:eastAsia="Times New Roman" w:hAnsi="Times New Roman"/>
                <w:sz w:val="11"/>
                <w:szCs w:val="11"/>
                <w:color w:val="auto"/>
              </w:rPr>
              <w:t>Other</w:t>
            </w:r>
          </w:p>
        </w:tc>
        <w:tc>
          <w:tcPr>
            <w:tcW w:w="1020" w:type="dxa"/>
            <w:vAlign w:val="bottom"/>
            <w:gridSpan w:val="3"/>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Treasury Stock</w:t>
            </w: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880" w:type="dxa"/>
            <w:vAlign w:val="bottom"/>
          </w:tcPr>
          <w:p>
            <w:pPr>
              <w:spacing w:after="0"/>
              <w:rPr>
                <w:sz w:val="7"/>
                <w:szCs w:val="7"/>
                <w:color w:val="auto"/>
              </w:rPr>
            </w:pPr>
          </w:p>
        </w:tc>
        <w:tc>
          <w:tcPr>
            <w:tcW w:w="1340" w:type="dxa"/>
            <w:vAlign w:val="bottom"/>
            <w:tcBorders>
              <w:bottom w:val="single" w:sz="8" w:color="auto"/>
            </w:tcBorders>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Paid-in</w:t>
            </w:r>
          </w:p>
        </w:tc>
        <w:tc>
          <w:tcPr>
            <w:tcW w:w="180" w:type="dxa"/>
            <w:vAlign w:val="bottom"/>
          </w:tcPr>
          <w:p>
            <w:pPr>
              <w:spacing w:after="0"/>
              <w:rPr>
                <w:sz w:val="7"/>
                <w:szCs w:val="7"/>
                <w:color w:val="auto"/>
              </w:rPr>
            </w:pPr>
          </w:p>
        </w:tc>
        <w:tc>
          <w:tcPr>
            <w:tcW w:w="54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Retained</w:t>
            </w:r>
          </w:p>
        </w:tc>
        <w:tc>
          <w:tcPr>
            <w:tcW w:w="160" w:type="dxa"/>
            <w:vAlign w:val="bottom"/>
          </w:tcPr>
          <w:p>
            <w:pPr>
              <w:spacing w:after="0"/>
              <w:rPr>
                <w:sz w:val="7"/>
                <w:szCs w:val="7"/>
                <w:color w:val="auto"/>
              </w:rPr>
            </w:pPr>
          </w:p>
        </w:tc>
        <w:tc>
          <w:tcPr>
            <w:tcW w:w="960" w:type="dxa"/>
            <w:vAlign w:val="bottom"/>
          </w:tcPr>
          <w:p>
            <w:pPr>
              <w:jc w:val="right"/>
              <w:ind w:right="4"/>
              <w:spacing w:after="0" w:line="90" w:lineRule="exact"/>
              <w:rPr>
                <w:sz w:val="20"/>
                <w:szCs w:val="20"/>
                <w:color w:val="auto"/>
              </w:rPr>
            </w:pPr>
            <w:r>
              <w:rPr>
                <w:rFonts w:ascii="Times New Roman" w:cs="Times New Roman" w:eastAsia="Times New Roman" w:hAnsi="Times New Roman"/>
                <w:sz w:val="10"/>
                <w:szCs w:val="10"/>
                <w:color w:val="auto"/>
              </w:rPr>
              <w:t>Comprehensive</w:t>
            </w:r>
          </w:p>
        </w:tc>
        <w:tc>
          <w:tcPr>
            <w:tcW w:w="3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jc w:val="center"/>
              <w:ind w:right="64"/>
              <w:spacing w:after="0" w:line="90" w:lineRule="exact"/>
              <w:rPr>
                <w:sz w:val="20"/>
                <w:szCs w:val="20"/>
                <w:color w:val="auto"/>
              </w:rPr>
            </w:pPr>
            <w:r>
              <w:rPr>
                <w:rFonts w:ascii="Times New Roman" w:cs="Times New Roman" w:eastAsia="Times New Roman" w:hAnsi="Times New Roman"/>
                <w:sz w:val="10"/>
                <w:szCs w:val="10"/>
                <w:color w:val="auto"/>
              </w:rPr>
              <w:t>Noncontrolling</w:t>
            </w:r>
          </w:p>
        </w:tc>
        <w:tc>
          <w:tcPr>
            <w:tcW w:w="120" w:type="dxa"/>
            <w:vAlign w:val="bottom"/>
          </w:tcPr>
          <w:p>
            <w:pPr>
              <w:spacing w:after="0"/>
              <w:rPr>
                <w:sz w:val="7"/>
                <w:szCs w:val="7"/>
                <w:color w:val="auto"/>
              </w:rPr>
            </w:pPr>
          </w:p>
        </w:tc>
        <w:tc>
          <w:tcPr>
            <w:tcW w:w="860" w:type="dxa"/>
            <w:vAlign w:val="bottom"/>
          </w:tcPr>
          <w:p>
            <w:pPr>
              <w:jc w:val="center"/>
              <w:ind w:right="104"/>
              <w:spacing w:after="0" w:line="90" w:lineRule="exact"/>
              <w:rPr>
                <w:sz w:val="20"/>
                <w:szCs w:val="20"/>
                <w:color w:val="auto"/>
              </w:rPr>
            </w:pPr>
            <w:r>
              <w:rPr>
                <w:rFonts w:ascii="Times New Roman" w:cs="Times New Roman" w:eastAsia="Times New Roman" w:hAnsi="Times New Roman"/>
                <w:sz w:val="10"/>
                <w:szCs w:val="10"/>
                <w:color w:val="auto"/>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(in millions)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Shares</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Amount</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Capital</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Earnings</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Income (Loss)</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Shares</w:t>
            </w: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left="23"/>
              <w:spacing w:after="0"/>
              <w:rPr>
                <w:sz w:val="20"/>
                <w:szCs w:val="20"/>
                <w:color w:val="auto"/>
              </w:rPr>
            </w:pPr>
            <w:r>
              <w:rPr>
                <w:rFonts w:ascii="Times New Roman" w:cs="Times New Roman" w:eastAsia="Times New Roman" w:hAnsi="Times New Roman"/>
                <w:sz w:val="11"/>
                <w:szCs w:val="11"/>
                <w:color w:val="auto"/>
                <w:w w:val="99"/>
              </w:rPr>
              <w:t>Amount</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1"/>
                <w:szCs w:val="11"/>
                <w:color w:val="auto"/>
              </w:rPr>
              <w:t>Interests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color w:val="auto"/>
              </w:rPr>
              <w:t>Equity</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December 31, 2025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68.8</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0.7</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1,992.6</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7,503.1</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(907.9)</w:t>
            </w:r>
          </w:p>
        </w:tc>
        <w:tc>
          <w:tcPr>
            <w:tcW w:w="3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(7.3)</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b w:val="1"/>
                <w:bCs w:val="1"/>
                <w:color w:val="auto"/>
              </w:rPr>
              <w:t>(215.2)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5.4</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8,378.7</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88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Shares issued under employee and director stock plans, net of shares withheld to pay</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0.2</w:t>
            </w:r>
          </w:p>
        </w:tc>
        <w:tc>
          <w:tcPr>
            <w:tcW w:w="180" w:type="dxa"/>
            <w:vAlign w:val="bottom"/>
          </w:tcPr>
          <w:p>
            <w:pPr>
              <w:spacing w:after="0"/>
              <w:rPr>
                <w:sz w:val="9"/>
                <w:szCs w:val="9"/>
                <w:color w:val="auto"/>
              </w:rPr>
            </w:pPr>
          </w:p>
        </w:tc>
        <w:tc>
          <w:tcPr>
            <w:tcW w:w="5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(6.4)</w:t>
            </w:r>
          </w:p>
        </w:tc>
        <w:tc>
          <w:tcPr>
            <w:tcW w:w="180" w:type="dxa"/>
            <w:vAlign w:val="bottom"/>
          </w:tcPr>
          <w:p>
            <w:pPr>
              <w:spacing w:after="0"/>
              <w:rPr>
                <w:sz w:val="9"/>
                <w:szCs w:val="9"/>
                <w:color w:val="auto"/>
              </w:rPr>
            </w:pPr>
          </w:p>
        </w:tc>
        <w:tc>
          <w:tcPr>
            <w:tcW w:w="540" w:type="dxa"/>
            <w:vAlign w:val="bottom"/>
            <w:vMerge w:val="restart"/>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9"/>
                <w:szCs w:val="9"/>
                <w:color w:val="auto"/>
              </w:rPr>
            </w:pPr>
          </w:p>
        </w:tc>
        <w:tc>
          <w:tcPr>
            <w:tcW w:w="12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9"/>
                <w:szCs w:val="9"/>
                <w:color w:val="auto"/>
              </w:rPr>
            </w:pPr>
          </w:p>
        </w:tc>
        <w:tc>
          <w:tcPr>
            <w:tcW w:w="4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0.2</w:t>
            </w:r>
          </w:p>
        </w:tc>
        <w:tc>
          <w:tcPr>
            <w:tcW w:w="120" w:type="dxa"/>
            <w:vAlign w:val="bottom"/>
          </w:tcPr>
          <w:p>
            <w:pPr>
              <w:spacing w:after="0"/>
              <w:rPr>
                <w:sz w:val="9"/>
                <w:szCs w:val="9"/>
                <w:color w:val="auto"/>
              </w:rPr>
            </w:pPr>
          </w:p>
        </w:tc>
        <w:tc>
          <w:tcPr>
            <w:tcW w:w="940" w:type="dxa"/>
            <w:vAlign w:val="bottom"/>
            <w:vMerge w:val="restart"/>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(6.2)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taxes on employees’ equity awards</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8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22.7</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22.7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Repurchases of common stock</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(3.2)</w:t>
            </w:r>
          </w:p>
        </w:tc>
        <w:tc>
          <w:tcPr>
            <w:tcW w:w="18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(388.4)</w:t>
            </w:r>
          </w:p>
        </w:tc>
        <w:tc>
          <w:tcPr>
            <w:tcW w:w="16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3"/>
                <w:szCs w:val="13"/>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(388.4)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earnings attributable to noncontrolling interests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Currency translation adjustment on noncontrolling interests</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3"/>
                <w:szCs w:val="13"/>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(1.3)</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De-consolidation of noncontrolling interest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Currency translation adjustment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3"/>
                <w:szCs w:val="13"/>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(175.4)</w:t>
            </w:r>
          </w:p>
        </w:tc>
        <w:tc>
          <w:tcPr>
            <w:tcW w:w="30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3"/>
                <w:szCs w:val="13"/>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(175.4)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Prior pension and post-retirement benefit service cost and actuarial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Net earnings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476.4</w:t>
            </w: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476.4</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October 3, 2026</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65.8</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0.7</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2,008.9</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7,591.0</w:t>
            </w: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(1,083.3)</w:t>
            </w:r>
          </w:p>
        </w:tc>
        <w:tc>
          <w:tcPr>
            <w:tcW w:w="30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(7.3)</w:t>
            </w: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bottom w:val="single" w:sz="8" w:color="auto"/>
            </w:tcBorders>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b w:val="1"/>
                <w:bCs w:val="1"/>
                <w:color w:val="auto"/>
              </w:rPr>
              <w:t>(215.0)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4.1</w:t>
            </w: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8,306.4</w:t>
            </w: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Total Stockholders' Equity</w:t>
            </w: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Additional</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jc w:val="center"/>
              <w:ind w:right="60"/>
              <w:spacing w:after="0" w:line="121" w:lineRule="exact"/>
              <w:rPr>
                <w:sz w:val="20"/>
                <w:szCs w:val="20"/>
                <w:color w:val="auto"/>
              </w:rPr>
            </w:pPr>
            <w:r>
              <w:rPr>
                <w:rFonts w:ascii="Times New Roman" w:cs="Times New Roman" w:eastAsia="Times New Roman" w:hAnsi="Times New Roman"/>
                <w:sz w:val="11"/>
                <w:szCs w:val="11"/>
                <w:color w:val="auto"/>
              </w:rPr>
              <w:t>Accumulated</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restart"/>
          </w:tcPr>
          <w:p>
            <w:pPr>
              <w:jc w:val="center"/>
              <w:ind w:right="104"/>
              <w:spacing w:after="0"/>
              <w:rPr>
                <w:sz w:val="20"/>
                <w:szCs w:val="20"/>
                <w:color w:val="auto"/>
              </w:rPr>
            </w:pPr>
            <w:r>
              <w:rPr>
                <w:rFonts w:ascii="Times New Roman" w:cs="Times New Roman" w:eastAsia="Times New Roman" w:hAnsi="Times New Roman"/>
                <w:sz w:val="11"/>
                <w:szCs w:val="11"/>
                <w:color w:val="auto"/>
                <w:w w:val="94"/>
              </w:rPr>
              <w:t>Total</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340" w:type="dxa"/>
            <w:vAlign w:val="bottom"/>
            <w:gridSpan w:val="3"/>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Common Stock</w:t>
            </w: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2"/>
          </w:tcPr>
          <w:p>
            <w:pPr>
              <w:jc w:val="right"/>
              <w:ind w:right="360"/>
              <w:spacing w:after="0" w:line="110" w:lineRule="exact"/>
              <w:rPr>
                <w:sz w:val="20"/>
                <w:szCs w:val="20"/>
                <w:color w:val="auto"/>
              </w:rPr>
            </w:pPr>
            <w:r>
              <w:rPr>
                <w:rFonts w:ascii="Times New Roman" w:cs="Times New Roman" w:eastAsia="Times New Roman" w:hAnsi="Times New Roman"/>
                <w:sz w:val="11"/>
                <w:szCs w:val="11"/>
                <w:color w:val="auto"/>
              </w:rPr>
              <w:t>Other</w:t>
            </w:r>
          </w:p>
        </w:tc>
        <w:tc>
          <w:tcPr>
            <w:tcW w:w="1020" w:type="dxa"/>
            <w:vAlign w:val="bottom"/>
            <w:gridSpan w:val="3"/>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Treasury Stock</w:t>
            </w: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880" w:type="dxa"/>
            <w:vAlign w:val="bottom"/>
          </w:tcPr>
          <w:p>
            <w:pPr>
              <w:spacing w:after="0"/>
              <w:rPr>
                <w:sz w:val="7"/>
                <w:szCs w:val="7"/>
                <w:color w:val="auto"/>
              </w:rPr>
            </w:pPr>
          </w:p>
        </w:tc>
        <w:tc>
          <w:tcPr>
            <w:tcW w:w="1340" w:type="dxa"/>
            <w:vAlign w:val="bottom"/>
            <w:tcBorders>
              <w:bottom w:val="single" w:sz="8" w:color="auto"/>
            </w:tcBorders>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Paid-in</w:t>
            </w:r>
          </w:p>
        </w:tc>
        <w:tc>
          <w:tcPr>
            <w:tcW w:w="180" w:type="dxa"/>
            <w:vAlign w:val="bottom"/>
          </w:tcPr>
          <w:p>
            <w:pPr>
              <w:spacing w:after="0"/>
              <w:rPr>
                <w:sz w:val="7"/>
                <w:szCs w:val="7"/>
                <w:color w:val="auto"/>
              </w:rPr>
            </w:pPr>
          </w:p>
        </w:tc>
        <w:tc>
          <w:tcPr>
            <w:tcW w:w="54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Retained</w:t>
            </w:r>
          </w:p>
        </w:tc>
        <w:tc>
          <w:tcPr>
            <w:tcW w:w="160" w:type="dxa"/>
            <w:vAlign w:val="bottom"/>
          </w:tcPr>
          <w:p>
            <w:pPr>
              <w:spacing w:after="0"/>
              <w:rPr>
                <w:sz w:val="7"/>
                <w:szCs w:val="7"/>
                <w:color w:val="auto"/>
              </w:rPr>
            </w:pPr>
          </w:p>
        </w:tc>
        <w:tc>
          <w:tcPr>
            <w:tcW w:w="960" w:type="dxa"/>
            <w:vAlign w:val="bottom"/>
          </w:tcPr>
          <w:p>
            <w:pPr>
              <w:jc w:val="right"/>
              <w:ind w:right="4"/>
              <w:spacing w:after="0" w:line="90" w:lineRule="exact"/>
              <w:rPr>
                <w:sz w:val="20"/>
                <w:szCs w:val="20"/>
                <w:color w:val="auto"/>
              </w:rPr>
            </w:pPr>
            <w:r>
              <w:rPr>
                <w:rFonts w:ascii="Times New Roman" w:cs="Times New Roman" w:eastAsia="Times New Roman" w:hAnsi="Times New Roman"/>
                <w:sz w:val="10"/>
                <w:szCs w:val="10"/>
                <w:color w:val="auto"/>
              </w:rPr>
              <w:t>Comprehensive</w:t>
            </w:r>
          </w:p>
        </w:tc>
        <w:tc>
          <w:tcPr>
            <w:tcW w:w="3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jc w:val="center"/>
              <w:ind w:right="64"/>
              <w:spacing w:after="0" w:line="90" w:lineRule="exact"/>
              <w:rPr>
                <w:sz w:val="20"/>
                <w:szCs w:val="20"/>
                <w:color w:val="auto"/>
              </w:rPr>
            </w:pPr>
            <w:r>
              <w:rPr>
                <w:rFonts w:ascii="Times New Roman" w:cs="Times New Roman" w:eastAsia="Times New Roman" w:hAnsi="Times New Roman"/>
                <w:sz w:val="10"/>
                <w:szCs w:val="10"/>
                <w:color w:val="auto"/>
              </w:rPr>
              <w:t>Noncontrolling</w:t>
            </w:r>
          </w:p>
        </w:tc>
        <w:tc>
          <w:tcPr>
            <w:tcW w:w="120" w:type="dxa"/>
            <w:vAlign w:val="bottom"/>
          </w:tcPr>
          <w:p>
            <w:pPr>
              <w:spacing w:after="0"/>
              <w:rPr>
                <w:sz w:val="7"/>
                <w:szCs w:val="7"/>
                <w:color w:val="auto"/>
              </w:rPr>
            </w:pPr>
          </w:p>
        </w:tc>
        <w:tc>
          <w:tcPr>
            <w:tcW w:w="860" w:type="dxa"/>
            <w:vAlign w:val="bottom"/>
          </w:tcPr>
          <w:p>
            <w:pPr>
              <w:jc w:val="center"/>
              <w:ind w:right="104"/>
              <w:spacing w:after="0" w:line="90" w:lineRule="exact"/>
              <w:rPr>
                <w:sz w:val="20"/>
                <w:szCs w:val="20"/>
                <w:color w:val="auto"/>
              </w:rPr>
            </w:pPr>
            <w:r>
              <w:rPr>
                <w:rFonts w:ascii="Times New Roman" w:cs="Times New Roman" w:eastAsia="Times New Roman" w:hAnsi="Times New Roman"/>
                <w:sz w:val="10"/>
                <w:szCs w:val="10"/>
                <w:color w:val="auto"/>
              </w:rPr>
              <w:t>Stockholders’</w:t>
            </w:r>
          </w:p>
        </w:tc>
        <w:tc>
          <w:tcPr>
            <w:tcW w:w="0" w:type="dxa"/>
            <w:vAlign w:val="bottom"/>
          </w:tcPr>
          <w:p>
            <w:pPr>
              <w:spacing w:after="0"/>
              <w:rPr>
                <w:sz w:val="1"/>
                <w:szCs w:val="1"/>
                <w:color w:val="auto"/>
              </w:rPr>
            </w:pPr>
          </w:p>
        </w:tc>
      </w:tr>
      <w:tr>
        <w:trPr>
          <w:trHeight w:val="164"/>
        </w:trPr>
        <w:tc>
          <w:tcPr>
            <w:tcW w:w="3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color w:val="auto"/>
              </w:rPr>
              <w:t>(in millions)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Shares</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Amount</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Capital</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Earnings</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Income (Loss)</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Shares</w:t>
            </w: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left="23"/>
              <w:spacing w:after="0"/>
              <w:rPr>
                <w:sz w:val="20"/>
                <w:szCs w:val="20"/>
                <w:color w:val="auto"/>
              </w:rPr>
            </w:pPr>
            <w:r>
              <w:rPr>
                <w:rFonts w:ascii="Times New Roman" w:cs="Times New Roman" w:eastAsia="Times New Roman" w:hAnsi="Times New Roman"/>
                <w:sz w:val="11"/>
                <w:szCs w:val="11"/>
                <w:color w:val="auto"/>
                <w:w w:val="99"/>
              </w:rPr>
              <w:t>Amount</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1"/>
                <w:szCs w:val="11"/>
                <w:color w:val="auto"/>
              </w:rPr>
              <w:t>Interests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color w:val="auto"/>
              </w:rPr>
              <w:t>Equity</w:t>
            </w:r>
          </w:p>
        </w:tc>
        <w:tc>
          <w:tcPr>
            <w:tcW w:w="0" w:type="dxa"/>
            <w:vAlign w:val="bottom"/>
          </w:tcPr>
          <w:p>
            <w:pPr>
              <w:spacing w:after="0"/>
              <w:rPr>
                <w:sz w:val="1"/>
                <w:szCs w:val="1"/>
                <w:color w:val="auto"/>
              </w:rPr>
            </w:pPr>
          </w:p>
        </w:tc>
      </w:tr>
      <w:tr>
        <w:trPr>
          <w:trHeight w:val="155"/>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December 31, 2024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69.9</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0.7</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1,968.8</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7,283.0</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(1,527.9)</w:t>
            </w:r>
          </w:p>
        </w:tc>
        <w:tc>
          <w:tcPr>
            <w:tcW w:w="3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7,514.8</w:t>
            </w:r>
          </w:p>
        </w:tc>
        <w:tc>
          <w:tcPr>
            <w:tcW w:w="0" w:type="dxa"/>
            <w:vAlign w:val="bottom"/>
          </w:tcPr>
          <w:p>
            <w:pPr>
              <w:spacing w:after="0"/>
              <w:rPr>
                <w:sz w:val="1"/>
                <w:szCs w:val="1"/>
                <w:color w:val="auto"/>
              </w:rPr>
            </w:pPr>
          </w:p>
        </w:tc>
      </w:tr>
      <w:tr>
        <w:trPr>
          <w:trHeight w:val="109"/>
        </w:trPr>
        <w:tc>
          <w:tcPr>
            <w:tcW w:w="390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color w:val="auto"/>
              </w:rPr>
              <w:t>Shares issued under employee and director stock plans, net of shares withheld to pay</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180" w:type="dxa"/>
            <w:vAlign w:val="bottom"/>
          </w:tcPr>
          <w:p>
            <w:pPr>
              <w:spacing w:after="0"/>
              <w:rPr>
                <w:sz w:val="9"/>
                <w:szCs w:val="9"/>
                <w:color w:val="auto"/>
              </w:rPr>
            </w:pPr>
          </w:p>
        </w:tc>
        <w:tc>
          <w:tcPr>
            <w:tcW w:w="5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8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12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20" w:type="dxa"/>
            <w:vAlign w:val="bottom"/>
          </w:tcPr>
          <w:p>
            <w:pPr>
              <w:spacing w:after="0"/>
              <w:rPr>
                <w:sz w:val="9"/>
                <w:szCs w:val="9"/>
                <w:color w:val="auto"/>
              </w:rPr>
            </w:pPr>
          </w:p>
        </w:tc>
        <w:tc>
          <w:tcPr>
            <w:tcW w:w="940" w:type="dxa"/>
            <w:vAlign w:val="bottom"/>
            <w:vMerge w:val="restart"/>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0" w:type="dxa"/>
            <w:vAlign w:val="bottom"/>
          </w:tcPr>
          <w:p>
            <w:pPr>
              <w:spacing w:after="0"/>
              <w:rPr>
                <w:sz w:val="1"/>
                <w:szCs w:val="1"/>
                <w:color w:val="auto"/>
              </w:rPr>
            </w:pPr>
          </w:p>
        </w:tc>
      </w:tr>
      <w:tr>
        <w:trPr>
          <w:trHeight w:val="95"/>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taxes on employees’ equity awards</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39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3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22.6</w:t>
            </w:r>
          </w:p>
        </w:tc>
        <w:tc>
          <w:tcPr>
            <w:tcW w:w="0" w:type="dxa"/>
            <w:vAlign w:val="bottom"/>
          </w:tcPr>
          <w:p>
            <w:pPr>
              <w:spacing w:after="0"/>
              <w:rPr>
                <w:sz w:val="1"/>
                <w:szCs w:val="1"/>
                <w:color w:val="auto"/>
              </w:rPr>
            </w:pPr>
          </w:p>
        </w:tc>
      </w:tr>
      <w:tr>
        <w:trPr>
          <w:trHeight w:val="152"/>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Repurchases of common stock</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w:t>
            </w:r>
          </w:p>
        </w:tc>
        <w:tc>
          <w:tcPr>
            <w:tcW w:w="18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(108.7)</w:t>
            </w:r>
          </w:p>
        </w:tc>
        <w:tc>
          <w:tcPr>
            <w:tcW w:w="16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(108.7)</w:t>
            </w:r>
          </w:p>
        </w:tc>
        <w:tc>
          <w:tcPr>
            <w:tcW w:w="0" w:type="dxa"/>
            <w:vAlign w:val="bottom"/>
          </w:tcPr>
          <w:p>
            <w:pPr>
              <w:spacing w:after="0"/>
              <w:rPr>
                <w:sz w:val="1"/>
                <w:szCs w:val="1"/>
                <w:color w:val="auto"/>
              </w:rPr>
            </w:pPr>
          </w:p>
        </w:tc>
      </w:tr>
      <w:tr>
        <w:trPr>
          <w:trHeight w:val="163"/>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earnings attributable to noncontrolling interests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2"/>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Currency translation adjustment on noncontrolling interests</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0.5</w:t>
            </w:r>
          </w:p>
        </w:tc>
        <w:tc>
          <w:tcPr>
            <w:tcW w:w="12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0.5</w:t>
            </w:r>
          </w:p>
        </w:tc>
        <w:tc>
          <w:tcPr>
            <w:tcW w:w="0" w:type="dxa"/>
            <w:vAlign w:val="bottom"/>
          </w:tcPr>
          <w:p>
            <w:pPr>
              <w:spacing w:after="0"/>
              <w:rPr>
                <w:sz w:val="1"/>
                <w:szCs w:val="1"/>
                <w:color w:val="auto"/>
              </w:rPr>
            </w:pPr>
          </w:p>
        </w:tc>
      </w:tr>
      <w:tr>
        <w:trPr>
          <w:trHeight w:val="163"/>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De-consolidation of noncontrolling interests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0" w:type="dxa"/>
            <w:vAlign w:val="bottom"/>
          </w:tcPr>
          <w:p>
            <w:pPr>
              <w:spacing w:after="0"/>
              <w:rPr>
                <w:sz w:val="1"/>
                <w:szCs w:val="1"/>
                <w:color w:val="auto"/>
              </w:rPr>
            </w:pPr>
          </w:p>
        </w:tc>
      </w:tr>
      <w:tr>
        <w:trPr>
          <w:trHeight w:val="152"/>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Currency translation adjustment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548.3</w:t>
            </w:r>
          </w:p>
        </w:tc>
        <w:tc>
          <w:tcPr>
            <w:tcW w:w="30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548.3</w:t>
            </w:r>
          </w:p>
        </w:tc>
        <w:tc>
          <w:tcPr>
            <w:tcW w:w="0" w:type="dxa"/>
            <w:vAlign w:val="bottom"/>
          </w:tcPr>
          <w:p>
            <w:pPr>
              <w:spacing w:after="0"/>
              <w:rPr>
                <w:sz w:val="1"/>
                <w:szCs w:val="1"/>
                <w:color w:val="auto"/>
              </w:rPr>
            </w:pPr>
          </w:p>
        </w:tc>
      </w:tr>
      <w:tr>
        <w:trPr>
          <w:trHeight w:val="163"/>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Prior pension and post-retirement benefit service cost and actuarial gain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2"/>
        </w:trPr>
        <w:tc>
          <w:tcPr>
            <w:tcW w:w="3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color w:val="auto"/>
              </w:rPr>
              <w:t>Net earnings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327.9</w:t>
            </w: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327.9</w:t>
            </w:r>
          </w:p>
        </w:tc>
        <w:tc>
          <w:tcPr>
            <w:tcW w:w="0" w:type="dxa"/>
            <w:vAlign w:val="bottom"/>
          </w:tcPr>
          <w:p>
            <w:pPr>
              <w:spacing w:after="0"/>
              <w:rPr>
                <w:sz w:val="1"/>
                <w:szCs w:val="1"/>
                <w:color w:val="auto"/>
              </w:rPr>
            </w:pPr>
          </w:p>
        </w:tc>
      </w:tr>
      <w:tr>
        <w:trPr>
          <w:trHeight w:val="150"/>
        </w:trPr>
        <w:tc>
          <w:tcPr>
            <w:tcW w:w="39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September 27, 2025</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69.2</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0.7</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1,985.4</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7,502.2</w:t>
            </w: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(979.6)</w:t>
            </w:r>
          </w:p>
        </w:tc>
        <w:tc>
          <w:tcPr>
            <w:tcW w:w="30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8,298.9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73660</wp:posOffset>
            </wp:positionV>
            <wp:extent cx="7171690"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Earnings Per Share</w:t>
      </w:r>
    </w:p>
    <w:p>
      <w:pPr>
        <w:spacing w:after="0" w:line="255" w:lineRule="exact"/>
        <w:rPr>
          <w:sz w:val="20"/>
          <w:szCs w:val="20"/>
          <w:color w:val="auto"/>
        </w:rPr>
      </w:pPr>
    </w:p>
    <w:p>
      <w:pPr>
        <w:jc w:val="both"/>
        <w:ind w:right="20" w:firstLine="582"/>
        <w:spacing w:after="0" w:line="306" w:lineRule="auto"/>
        <w:rPr>
          <w:sz w:val="20"/>
          <w:szCs w:val="20"/>
          <w:color w:val="auto"/>
        </w:rPr>
      </w:pPr>
      <w:r>
        <w:rPr>
          <w:rFonts w:ascii="Times New Roman" w:cs="Times New Roman" w:eastAsia="Times New Roman" w:hAnsi="Times New Roman"/>
          <w:sz w:val="16"/>
          <w:szCs w:val="16"/>
          <w:color w:val="auto"/>
        </w:rPr>
        <w:t>Basic earnings per common share is computed by dividing net earnings available to common stockholders by the weighted average number of common shares outstanding during each period. Diluted earnings per common share assumes the vesting of RSUs using the treasury stock method when the effects of such assumptions are dilutive. A reconciliation of net earnings attributable to Mohawk Industries, Inc. and weighted-average common shares outstanding for purposes of calculating basic and diluted earnings per share is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Three Months Ended</w:t>
            </w:r>
          </w:p>
        </w:tc>
        <w:tc>
          <w:tcPr>
            <w:tcW w:w="148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Nine Months Ended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(In millions, except per share data)</w:t>
            </w: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456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3"/>
                <w:szCs w:val="13"/>
                <w:b w:val="1"/>
                <w:bCs w:val="1"/>
                <w:color w:val="auto"/>
              </w:rPr>
              <w:t>October 3, 2026</w:t>
            </w:r>
          </w:p>
        </w:tc>
        <w:tc>
          <w:tcPr>
            <w:tcW w:w="14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3"/>
                <w:szCs w:val="13"/>
                <w:color w:val="auto"/>
                <w:w w:val="99"/>
              </w:rPr>
              <w:t>September 27, 2025</w:t>
            </w:r>
          </w:p>
        </w:tc>
        <w:tc>
          <w:tcPr>
            <w:tcW w:w="188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3"/>
                <w:szCs w:val="13"/>
                <w:b w:val="1"/>
                <w:bCs w:val="1"/>
                <w:color w:val="auto"/>
              </w:rPr>
              <w:t>October 3, 2026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September 27, 2025</w:t>
            </w:r>
          </w:p>
        </w:tc>
        <w:tc>
          <w:tcPr>
            <w:tcW w:w="0" w:type="dxa"/>
            <w:vAlign w:val="bottom"/>
          </w:tcPr>
          <w:p>
            <w:pPr>
              <w:spacing w:after="0"/>
              <w:rPr>
                <w:sz w:val="1"/>
                <w:szCs w:val="1"/>
                <w:color w:val="auto"/>
              </w:rPr>
            </w:pPr>
          </w:p>
        </w:tc>
      </w:tr>
      <w:tr>
        <w:trPr>
          <w:trHeight w:val="205"/>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attributable to Mohawk Industries, Inc.</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b w:val="1"/>
                <w:bCs w:val="1"/>
                <w:color w:val="auto"/>
              </w:rPr>
              <w:t>163.1</w:t>
            </w:r>
          </w:p>
        </w:tc>
        <w:tc>
          <w:tcPr>
            <w:tcW w:w="148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rPr>
              <w:t>108.8</w:t>
            </w:r>
          </w:p>
        </w:tc>
        <w:tc>
          <w:tcPr>
            <w:tcW w:w="1880" w:type="dxa"/>
            <w:vAlign w:val="bottom"/>
            <w:tcBorders>
              <w:bottom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b w:val="1"/>
                <w:bCs w:val="1"/>
                <w:color w:val="auto"/>
              </w:rPr>
              <w:t>476.4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outstanding—basic and diluted:</w:t>
            </w:r>
          </w:p>
        </w:tc>
        <w:tc>
          <w:tcPr>
            <w:tcW w:w="4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outstanding—basic</w:t>
            </w:r>
          </w:p>
        </w:tc>
        <w:tc>
          <w:tcPr>
            <w:tcW w:w="400" w:type="dxa"/>
            <w:vAlign w:val="bottom"/>
          </w:tcPr>
          <w:p>
            <w:pPr>
              <w:spacing w:after="0"/>
              <w:rPr>
                <w:sz w:val="17"/>
                <w:szCs w:val="17"/>
                <w:color w:val="auto"/>
              </w:rPr>
            </w:pPr>
          </w:p>
        </w:tc>
        <w:tc>
          <w:tcPr>
            <w:tcW w:w="1800" w:type="dxa"/>
            <w:vAlign w:val="bottom"/>
          </w:tcPr>
          <w:p>
            <w:pPr>
              <w:jc w:val="right"/>
              <w:ind w:right="603"/>
              <w:spacing w:after="0"/>
              <w:rPr>
                <w:sz w:val="20"/>
                <w:szCs w:val="20"/>
                <w:color w:val="auto"/>
              </w:rPr>
            </w:pPr>
            <w:r>
              <w:rPr>
                <w:rFonts w:ascii="Times New Roman" w:cs="Times New Roman" w:eastAsia="Times New Roman" w:hAnsi="Times New Roman"/>
                <w:sz w:val="16"/>
                <w:szCs w:val="16"/>
                <w:b w:val="1"/>
                <w:bCs w:val="1"/>
                <w:color w:val="auto"/>
              </w:rPr>
              <w:t>59.8</w:t>
            </w:r>
          </w:p>
        </w:tc>
        <w:tc>
          <w:tcPr>
            <w:tcW w:w="148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rPr>
              <w:t>62.0</w:t>
            </w:r>
          </w:p>
        </w:tc>
        <w:tc>
          <w:tcPr>
            <w:tcW w:w="1880" w:type="dxa"/>
            <w:vAlign w:val="bottom"/>
          </w:tcPr>
          <w:p>
            <w:pPr>
              <w:jc w:val="right"/>
              <w:ind w:right="583"/>
              <w:spacing w:after="0"/>
              <w:rPr>
                <w:sz w:val="20"/>
                <w:szCs w:val="20"/>
                <w:color w:val="auto"/>
              </w:rPr>
            </w:pPr>
            <w:r>
              <w:rPr>
                <w:rFonts w:ascii="Times New Roman" w:cs="Times New Roman" w:eastAsia="Times New Roman" w:hAnsi="Times New Roman"/>
                <w:sz w:val="16"/>
                <w:szCs w:val="16"/>
                <w:b w:val="1"/>
                <w:bCs w:val="1"/>
                <w:color w:val="auto"/>
              </w:rPr>
              <w:t>60.6</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0" w:type="dxa"/>
            <w:vAlign w:val="bottom"/>
          </w:tcPr>
          <w:p>
            <w:pPr>
              <w:spacing w:after="0"/>
              <w:rPr>
                <w:sz w:val="1"/>
                <w:szCs w:val="1"/>
                <w:color w:val="auto"/>
              </w:rPr>
            </w:pPr>
          </w:p>
        </w:tc>
      </w:tr>
      <w:tr>
        <w:trPr>
          <w:trHeight w:val="206"/>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dilutive potential common shares—RSUs</w:t>
            </w:r>
          </w:p>
        </w:tc>
        <w:tc>
          <w:tcPr>
            <w:tcW w:w="40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b w:val="1"/>
                <w:bCs w:val="1"/>
                <w:color w:val="auto"/>
              </w:rPr>
              <w:t>0.3</w:t>
            </w:r>
          </w:p>
        </w:tc>
        <w:tc>
          <w:tcPr>
            <w:tcW w:w="148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rPr>
              <w:t>0.3</w:t>
            </w:r>
          </w:p>
        </w:tc>
        <w:tc>
          <w:tcPr>
            <w:tcW w:w="1880" w:type="dxa"/>
            <w:vAlign w:val="bottom"/>
            <w:tcBorders>
              <w:bottom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b w:val="1"/>
                <w:bCs w:val="1"/>
                <w:color w:val="auto"/>
              </w:rPr>
              <w:t>0.3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198"/>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outstanding—diluted</w:t>
            </w:r>
          </w:p>
        </w:tc>
        <w:tc>
          <w:tcPr>
            <w:tcW w:w="4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6"/>
                <w:szCs w:val="16"/>
                <w:b w:val="1"/>
                <w:bCs w:val="1"/>
                <w:color w:val="auto"/>
              </w:rPr>
              <w:t>60.0</w:t>
            </w:r>
          </w:p>
        </w:tc>
        <w:tc>
          <w:tcPr>
            <w:tcW w:w="14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62.3</w:t>
            </w:r>
          </w:p>
        </w:tc>
        <w:tc>
          <w:tcPr>
            <w:tcW w:w="188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6"/>
                <w:szCs w:val="16"/>
                <w:b w:val="1"/>
                <w:bCs w:val="1"/>
                <w:color w:val="auto"/>
              </w:rPr>
              <w:t>60.9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 attributable to Mohawk Industries, Inc.</w:t>
            </w:r>
          </w:p>
        </w:tc>
        <w:tc>
          <w:tcPr>
            <w:tcW w:w="4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b w:val="1"/>
                <w:bCs w:val="1"/>
                <w:color w:val="auto"/>
              </w:rPr>
              <w:t>2.73</w:t>
            </w:r>
          </w:p>
        </w:tc>
        <w:tc>
          <w:tcPr>
            <w:tcW w:w="148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rPr>
              <w:t>1.75</w:t>
            </w:r>
          </w:p>
        </w:tc>
        <w:tc>
          <w:tcPr>
            <w:tcW w:w="1880" w:type="dxa"/>
            <w:vAlign w:val="bottom"/>
            <w:tcBorders>
              <w:bottom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b w:val="1"/>
                <w:bCs w:val="1"/>
                <w:color w:val="auto"/>
              </w:rPr>
              <w:t>7.86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10"/>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6"/>
                <w:szCs w:val="16"/>
                <w:b w:val="1"/>
                <w:bCs w:val="1"/>
                <w:color w:val="auto"/>
              </w:rPr>
              <w:t>2.72</w:t>
            </w:r>
          </w:p>
        </w:tc>
        <w:tc>
          <w:tcPr>
            <w:tcW w:w="14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1.75</w:t>
            </w:r>
          </w:p>
        </w:tc>
        <w:tc>
          <w:tcPr>
            <w:tcW w:w="188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6"/>
                <w:szCs w:val="16"/>
                <w:b w:val="1"/>
                <w:bCs w:val="1"/>
                <w:color w:val="auto"/>
              </w:rPr>
              <w:t>7.82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Segment Reporting</w:t>
      </w:r>
    </w:p>
    <w:p>
      <w:pPr>
        <w:spacing w:after="0" w:line="400" w:lineRule="exact"/>
        <w:rPr>
          <w:sz w:val="20"/>
          <w:szCs w:val="20"/>
          <w:color w:val="auto"/>
        </w:rPr>
      </w:pPr>
    </w:p>
    <w:p>
      <w:pPr>
        <w:jc w:val="both"/>
        <w:ind w:firstLine="582"/>
        <w:spacing w:after="0" w:line="278" w:lineRule="auto"/>
        <w:rPr>
          <w:sz w:val="20"/>
          <w:szCs w:val="20"/>
          <w:color w:val="auto"/>
        </w:rPr>
      </w:pPr>
      <w:r>
        <w:rPr>
          <w:rFonts w:ascii="Times New Roman" w:cs="Times New Roman" w:eastAsia="Times New Roman" w:hAnsi="Times New Roman"/>
          <w:sz w:val="16"/>
          <w:szCs w:val="16"/>
          <w:color w:val="auto"/>
        </w:rPr>
        <w:t>The Company has three reporting segments: Global Ceramic, Flooring NA and Flooring ROW. Global Ceramic designs, manufactures, sources and markets a broad line of ceramic tile, porcelain tile, natural stone, porcelain slabs, quartz countertops and other products, which it distributes primarily in North America, Europe and Latin America through its network of regional distribution centers and Company-operated service centers using Company-operated trucks, common carriers or rail transportation. The segment’s product lines are sold through Company-operated service centers, independent distributors, home centers, tile and flooring retailers, residential builders, residential and commercial contractors and commercial end users. Flooring NA designs, manufactures, sources and markets its floor covering product lines, including carpets, rugs, carpet pad, laminate, resilient (includes sheet vinyl and luxury vinyl tile (“LVT”)), wood flooring and flooring accessories, which it distributes through its network of regional distribution centers and satellite warehouses using Company-operated trucks, common carriers or rail transportation. The segment’s product lines are sold through independent floor covering retailers, independent distributors, home centers, mass merchandisers, department stores, shop at home, buying groups, residential builders, commercial contractors and commercial end users. Flooring ROW designs, manufactures, sources, licenses and markets laminate, sheet vinyl, LVT, carpet, carpet tile, wood flooring, roofing elements, insulation materials, medium- and high-density fiberboard (“MDF” and “HDF”), chipboards, decorative panels, and other wood products, which it distributes primarily in Europe and Oceania through independent floor covering retailers, Company-operated distributors, independent distributors and home centers.</w:t>
      </w:r>
    </w:p>
    <w:p>
      <w:pPr>
        <w:spacing w:after="0" w:line="394" w:lineRule="exact"/>
        <w:rPr>
          <w:sz w:val="20"/>
          <w:szCs w:val="20"/>
          <w:color w:val="auto"/>
        </w:rPr>
      </w:pPr>
    </w:p>
    <w:p>
      <w:pPr>
        <w:jc w:val="both"/>
        <w:ind w:firstLine="582"/>
        <w:spacing w:after="0" w:line="301" w:lineRule="auto"/>
        <w:rPr>
          <w:sz w:val="20"/>
          <w:szCs w:val="20"/>
          <w:color w:val="auto"/>
        </w:rPr>
      </w:pPr>
      <w:r>
        <w:rPr>
          <w:rFonts w:ascii="Times New Roman" w:cs="Times New Roman" w:eastAsia="Times New Roman" w:hAnsi="Times New Roman"/>
          <w:sz w:val="16"/>
          <w:szCs w:val="16"/>
          <w:color w:val="auto"/>
        </w:rPr>
        <w:t xml:space="preserve">In November 2023, the FASB issued ASU 2023-07, </w:t>
      </w:r>
      <w:r>
        <w:rPr>
          <w:rFonts w:ascii="Times New Roman" w:cs="Times New Roman" w:eastAsia="Times New Roman" w:hAnsi="Times New Roman"/>
          <w:sz w:val="16"/>
          <w:szCs w:val="16"/>
          <w:i w:val="1"/>
          <w:iCs w:val="1"/>
          <w:color w:val="auto"/>
        </w:rPr>
        <w:t>Segment Reporting (Topic 280): Improvements to Reportable Segment Disclosures</w:t>
      </w:r>
      <w:r>
        <w:rPr>
          <w:rFonts w:ascii="Times New Roman" w:cs="Times New Roman" w:eastAsia="Times New Roman" w:hAnsi="Times New Roman"/>
          <w:sz w:val="16"/>
          <w:szCs w:val="16"/>
          <w:color w:val="auto"/>
        </w:rPr>
        <w:t>, which expands segment disclosures for public entities, including requiring disclosure of significant segment expenses that are regularly provided to the chief operating decision maker (“CODM”), the title and position of the CODM and an explanation of how the CODM uses reported measures of segment profit or loss in assessing segment performance and allocating resources. The new guidance also expands disclosures about a reportable segment’s profit or loss and assets in interim periods and clarifies that a public entity may report additional measures of segment profit if the CODM uses more than one measure of a segment’s profit or loss. The new guidance does not remove existing segment disclosure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73660</wp:posOffset>
            </wp:positionV>
            <wp:extent cx="7171690"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20" w:name="page21"/>
    <w:bookmarkEnd w:id="20"/>
    <w:p>
      <w:pPr>
        <w:ind w:left="3"/>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ind w:left="3" w:right="20"/>
        <w:spacing w:after="0" w:line="318" w:lineRule="auto"/>
        <w:rPr>
          <w:sz w:val="20"/>
          <w:szCs w:val="20"/>
          <w:color w:val="auto"/>
        </w:rPr>
      </w:pPr>
      <w:r>
        <w:rPr>
          <w:rFonts w:ascii="Times New Roman" w:cs="Times New Roman" w:eastAsia="Times New Roman" w:hAnsi="Times New Roman"/>
          <w:sz w:val="16"/>
          <w:szCs w:val="16"/>
          <w:color w:val="auto"/>
        </w:rPr>
        <w:t>requirements or change how a public entity identifies its operating segments, aggregates those operating segments, or determines its reportable segments. Effective January 1, 2024, the Company adopted the new disclosure guidance.</w:t>
      </w:r>
    </w:p>
    <w:p>
      <w:pPr>
        <w:spacing w:after="0" w:line="179" w:lineRule="exact"/>
        <w:rPr>
          <w:sz w:val="20"/>
          <w:szCs w:val="20"/>
          <w:color w:val="auto"/>
        </w:rPr>
      </w:pPr>
    </w:p>
    <w:p>
      <w:pPr>
        <w:jc w:val="both"/>
        <w:ind w:left="3" w:right="20" w:firstLine="582"/>
        <w:spacing w:after="0" w:line="301" w:lineRule="auto"/>
        <w:rPr>
          <w:sz w:val="20"/>
          <w:szCs w:val="20"/>
          <w:color w:val="auto"/>
        </w:rPr>
      </w:pPr>
      <w:r>
        <w:rPr>
          <w:rFonts w:ascii="Times New Roman" w:cs="Times New Roman" w:eastAsia="Times New Roman" w:hAnsi="Times New Roman"/>
          <w:sz w:val="16"/>
          <w:szCs w:val="16"/>
          <w:color w:val="auto"/>
        </w:rPr>
        <w:t>The Chief Executive Officer (“CEO”) and Chief Financial Officer (“CFO”) of the Company collaborate to gather information that the CEO uses to assess performance and make resource allocation decisions for the operating segments. The CEO frequently makes operational and resource allocation decisions and is also responsible for strategic decisions. Since the CEO makes crucial operating and resource allocation decisions with support from the other senior executives, the CEO is the CODM for purposes of Topic 280.</w:t>
      </w:r>
    </w:p>
    <w:p>
      <w:pPr>
        <w:spacing w:after="0" w:line="193" w:lineRule="exact"/>
        <w:rPr>
          <w:sz w:val="20"/>
          <w:szCs w:val="20"/>
          <w:color w:val="auto"/>
        </w:rPr>
      </w:pPr>
    </w:p>
    <w:p>
      <w:pPr>
        <w:jc w:val="both"/>
        <w:ind w:left="3" w:right="20" w:firstLine="582"/>
        <w:spacing w:after="0" w:line="302" w:lineRule="auto"/>
        <w:rPr>
          <w:sz w:val="20"/>
          <w:szCs w:val="20"/>
          <w:color w:val="auto"/>
        </w:rPr>
      </w:pPr>
      <w:r>
        <w:rPr>
          <w:rFonts w:ascii="Times New Roman" w:cs="Times New Roman" w:eastAsia="Times New Roman" w:hAnsi="Times New Roman"/>
          <w:sz w:val="16"/>
          <w:szCs w:val="16"/>
          <w:color w:val="auto"/>
        </w:rPr>
        <w:t>The CODM considers Operating income (loss) as compared to prior year performance and forecast for each reporting segment to evaluate performance and allocate resources to the segments.</w:t>
      </w:r>
    </w:p>
    <w:p>
      <w:pPr>
        <w:spacing w:after="0" w:line="168" w:lineRule="exact"/>
        <w:rPr>
          <w:sz w:val="20"/>
          <w:szCs w:val="20"/>
          <w:color w:val="auto"/>
        </w:rPr>
      </w:pPr>
    </w:p>
    <w:p>
      <w:pPr>
        <w:jc w:val="both"/>
        <w:ind w:left="3" w:right="20" w:firstLine="582"/>
        <w:spacing w:after="0" w:line="293" w:lineRule="auto"/>
        <w:rPr>
          <w:sz w:val="20"/>
          <w:szCs w:val="20"/>
          <w:color w:val="auto"/>
        </w:rPr>
      </w:pPr>
      <w:r>
        <w:rPr>
          <w:rFonts w:ascii="Times New Roman" w:cs="Times New Roman" w:eastAsia="Times New Roman" w:hAnsi="Times New Roman"/>
          <w:sz w:val="16"/>
          <w:szCs w:val="16"/>
          <w:color w:val="auto"/>
        </w:rPr>
        <w:t>For the Global Ceramic, Flooring NA and Flooring ROW segments, the CODM uses segment Operating income (loss) to allocate resources (including employees and financial or capital resources) for each segment predominantly in the annual budget and forecasting process. The CODM considers forecast-to-actual variances in Operating income (loss) on a monthly basis when making decisions about allocating resources to the segments.</w:t>
      </w:r>
    </w:p>
    <w:p>
      <w:pPr>
        <w:spacing w:after="0" w:line="175" w:lineRule="exact"/>
        <w:rPr>
          <w:sz w:val="20"/>
          <w:szCs w:val="20"/>
          <w:color w:val="auto"/>
        </w:rPr>
      </w:pPr>
    </w:p>
    <w:p>
      <w:pPr>
        <w:jc w:val="both"/>
        <w:ind w:left="3" w:firstLine="582"/>
        <w:spacing w:after="0" w:line="317" w:lineRule="auto"/>
        <w:rPr>
          <w:sz w:val="20"/>
          <w:szCs w:val="20"/>
          <w:color w:val="auto"/>
        </w:rPr>
      </w:pPr>
      <w:r>
        <w:rPr>
          <w:rFonts w:ascii="Times New Roman" w:cs="Times New Roman" w:eastAsia="Times New Roman" w:hAnsi="Times New Roman"/>
          <w:sz w:val="16"/>
          <w:szCs w:val="16"/>
          <w:color w:val="auto"/>
        </w:rPr>
        <w:t>The Company internally provides the following discrete segment financial information to its CODM: total assets; geographic net sales; long-lived assets; net sales by product categories; net sales; cost of sales; selling, general, and administrative expenses; operating income; depreciation expenses and capital expenditures. This key segment information, including both significant segment expenses and assets, is used by the CODM to evaluate performance and allocate resources to the segments.</w:t>
      </w:r>
    </w:p>
    <w:p>
      <w:pPr>
        <w:spacing w:after="0" w:line="168"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Significant segment sales, expenses and assets information is as follows:</w:t>
      </w:r>
    </w:p>
    <w:p>
      <w:pPr>
        <w:spacing w:after="0" w:line="65" w:lineRule="exact"/>
        <w:rPr>
          <w:sz w:val="20"/>
          <w:szCs w:val="20"/>
          <w:color w:val="auto"/>
        </w:rPr>
      </w:pPr>
    </w:p>
    <w:tbl>
      <w:tblPr>
        <w:tblLayout w:type="fixed"/>
        <w:tblInd w:w="3" w:type="dxa"/>
        <w:tblCellMar>
          <w:top w:w="0" w:type="dxa"/>
          <w:left w:w="0" w:type="dxa"/>
          <w:bottom w:w="0" w:type="dxa"/>
          <w:right w:w="0" w:type="dxa"/>
        </w:tblCellMar>
      </w:tblPr>
      <w:tr>
        <w:trPr>
          <w:trHeight w:val="169"/>
        </w:trPr>
        <w:tc>
          <w:tcPr>
            <w:tcW w:w="5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millions)</w:t>
            </w:r>
          </w:p>
        </w:tc>
        <w:tc>
          <w:tcPr>
            <w:tcW w:w="2780" w:type="dxa"/>
            <w:vAlign w:val="bottom"/>
          </w:tcPr>
          <w:p>
            <w:pPr>
              <w:spacing w:after="0"/>
              <w:rPr>
                <w:sz w:val="14"/>
                <w:szCs w:val="14"/>
                <w:color w:val="auto"/>
              </w:rPr>
            </w:pPr>
          </w:p>
        </w:tc>
        <w:tc>
          <w:tcPr>
            <w:tcW w:w="1680" w:type="dxa"/>
            <w:vAlign w:val="bottom"/>
          </w:tcPr>
          <w:p>
            <w:pPr>
              <w:jc w:val="right"/>
              <w:ind w:right="542"/>
              <w:spacing w:after="0"/>
              <w:rPr>
                <w:sz w:val="20"/>
                <w:szCs w:val="20"/>
                <w:color w:val="auto"/>
              </w:rPr>
            </w:pPr>
            <w:r>
              <w:rPr>
                <w:rFonts w:ascii="Times New Roman" w:cs="Times New Roman" w:eastAsia="Times New Roman" w:hAnsi="Times New Roman"/>
                <w:sz w:val="13"/>
                <w:szCs w:val="13"/>
                <w:b w:val="1"/>
                <w:bCs w:val="1"/>
                <w:color w:val="auto"/>
              </w:rPr>
              <w:t>October 3, 2026</w:t>
            </w:r>
          </w:p>
        </w:tc>
        <w:tc>
          <w:tcPr>
            <w:tcW w:w="1620" w:type="dxa"/>
            <w:vAlign w:val="bottom"/>
          </w:tcPr>
          <w:p>
            <w:pPr>
              <w:jc w:val="right"/>
              <w:ind w:right="302"/>
              <w:spacing w:after="0"/>
              <w:rPr>
                <w:sz w:val="20"/>
                <w:szCs w:val="20"/>
                <w:color w:val="auto"/>
              </w:rPr>
            </w:pPr>
            <w:r>
              <w:rPr>
                <w:rFonts w:ascii="Times New Roman" w:cs="Times New Roman" w:eastAsia="Times New Roman" w:hAnsi="Times New Roman"/>
                <w:sz w:val="13"/>
                <w:szCs w:val="13"/>
                <w:color w:val="auto"/>
              </w:rPr>
              <w:t>December 31, 2025</w:t>
            </w:r>
          </w:p>
        </w:tc>
      </w:tr>
      <w:tr>
        <w:trPr>
          <w:trHeight w:val="23"/>
        </w:trPr>
        <w:tc>
          <w:tcPr>
            <w:tcW w:w="51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9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7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6"/>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Global Ceramic</w:t>
            </w:r>
          </w:p>
        </w:tc>
        <w:tc>
          <w:tcPr>
            <w:tcW w:w="27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5,321.7</w:t>
            </w:r>
          </w:p>
        </w:tc>
        <w:tc>
          <w:tcPr>
            <w:tcW w:w="1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5,155.0</w:t>
            </w:r>
          </w:p>
        </w:tc>
      </w:tr>
      <w:tr>
        <w:trPr>
          <w:trHeight w:val="20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Flooring NA</w:t>
            </w:r>
          </w:p>
        </w:tc>
        <w:tc>
          <w:tcPr>
            <w:tcW w:w="278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3,740.0</w:t>
            </w:r>
          </w:p>
        </w:tc>
        <w:tc>
          <w:tcPr>
            <w:tcW w:w="16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3,832.6</w:t>
            </w:r>
          </w:p>
        </w:tc>
      </w:tr>
      <w:tr>
        <w:trPr>
          <w:trHeight w:val="206"/>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Flooring ROW</w:t>
            </w:r>
          </w:p>
        </w:tc>
        <w:tc>
          <w:tcPr>
            <w:tcW w:w="2780" w:type="dxa"/>
            <w:vAlign w:val="bottom"/>
          </w:tcPr>
          <w:p>
            <w:pPr>
              <w:spacing w:after="0"/>
              <w:rPr>
                <w:sz w:val="17"/>
                <w:szCs w:val="17"/>
                <w:color w:val="auto"/>
              </w:rPr>
            </w:pPr>
          </w:p>
        </w:tc>
        <w:tc>
          <w:tcPr>
            <w:tcW w:w="168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3,913.2</w:t>
            </w:r>
          </w:p>
        </w:tc>
        <w:tc>
          <w:tcPr>
            <w:tcW w:w="1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3,989.2</w:t>
            </w:r>
          </w:p>
        </w:tc>
      </w:tr>
      <w:tr>
        <w:trPr>
          <w:trHeight w:val="206"/>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intersegment eliminations</w:t>
            </w:r>
          </w:p>
        </w:tc>
        <w:tc>
          <w:tcPr>
            <w:tcW w:w="27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460.2</w:t>
            </w:r>
          </w:p>
        </w:tc>
        <w:tc>
          <w:tcPr>
            <w:tcW w:w="16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710.5</w:t>
            </w:r>
          </w:p>
        </w:tc>
      </w:tr>
      <w:tr>
        <w:trPr>
          <w:trHeight w:val="198"/>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13,435.1</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13,687.3</w:t>
            </w:r>
          </w:p>
        </w:tc>
      </w:tr>
    </w:tbl>
    <w:p>
      <w:pPr>
        <w:spacing w:after="0" w:line="89" w:lineRule="exact"/>
        <w:rPr>
          <w:sz w:val="20"/>
          <w:szCs w:val="20"/>
          <w:color w:val="auto"/>
        </w:rPr>
      </w:pPr>
    </w:p>
    <w:tbl>
      <w:tblPr>
        <w:tblLayout w:type="fixed"/>
        <w:tblInd w:w="3" w:type="dxa"/>
        <w:tblCellMar>
          <w:top w:w="0" w:type="dxa"/>
          <w:left w:w="0" w:type="dxa"/>
          <w:bottom w:w="0" w:type="dxa"/>
          <w:right w:w="0" w:type="dxa"/>
        </w:tblCellMar>
      </w:tblPr>
      <w:tr>
        <w:trPr>
          <w:trHeight w:val="167"/>
        </w:trPr>
        <w:tc>
          <w:tcPr>
            <w:tcW w:w="4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60" w:type="dxa"/>
            <w:vAlign w:val="bottom"/>
          </w:tcPr>
          <w:p>
            <w:pPr>
              <w:jc w:val="right"/>
              <w:ind w:right="22"/>
              <w:spacing w:after="0"/>
              <w:rPr>
                <w:sz w:val="20"/>
                <w:szCs w:val="20"/>
                <w:color w:val="auto"/>
              </w:rPr>
            </w:pPr>
            <w:r>
              <w:rPr>
                <w:rFonts w:ascii="Times New Roman" w:cs="Times New Roman" w:eastAsia="Times New Roman" w:hAnsi="Times New Roman"/>
                <w:sz w:val="13"/>
                <w:szCs w:val="13"/>
                <w:color w:val="auto"/>
              </w:rPr>
              <w:t>Three Months Ended</w:t>
            </w:r>
          </w:p>
        </w:tc>
        <w:tc>
          <w:tcPr>
            <w:tcW w:w="15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Nine Months Ended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(In millions)</w:t>
            </w:r>
          </w:p>
        </w:tc>
        <w:tc>
          <w:tcPr>
            <w:tcW w:w="5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43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3"/>
                <w:szCs w:val="13"/>
                <w:b w:val="1"/>
                <w:bCs w:val="1"/>
                <w:color w:val="auto"/>
              </w:rPr>
              <w:t>October 3, 2026</w:t>
            </w:r>
          </w:p>
        </w:tc>
        <w:tc>
          <w:tcPr>
            <w:tcW w:w="15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3"/>
                <w:szCs w:val="13"/>
                <w:color w:val="auto"/>
              </w:rPr>
              <w:t>September 27, 2025</w:t>
            </w:r>
          </w:p>
        </w:tc>
        <w:tc>
          <w:tcPr>
            <w:tcW w:w="18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3"/>
                <w:szCs w:val="13"/>
                <w:b w:val="1"/>
                <w:bCs w:val="1"/>
                <w:color w:val="auto"/>
              </w:rPr>
              <w:t>October 3, 2026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September 27, 2025</w:t>
            </w:r>
          </w:p>
        </w:tc>
        <w:tc>
          <w:tcPr>
            <w:tcW w:w="0" w:type="dxa"/>
            <w:vAlign w:val="bottom"/>
          </w:tcPr>
          <w:p>
            <w:pPr>
              <w:spacing w:after="0"/>
              <w:rPr>
                <w:sz w:val="1"/>
                <w:szCs w:val="1"/>
                <w:color w:val="auto"/>
              </w:rPr>
            </w:pPr>
          </w:p>
        </w:tc>
      </w:tr>
      <w:tr>
        <w:trPr>
          <w:trHeight w:val="20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Geographic net sales:</w:t>
            </w:r>
          </w:p>
        </w:tc>
        <w:tc>
          <w:tcPr>
            <w:tcW w:w="5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960" w:type="dxa"/>
            <w:vAlign w:val="bottom"/>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1,528.4</w:t>
            </w:r>
          </w:p>
        </w:tc>
        <w:tc>
          <w:tcPr>
            <w:tcW w:w="154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rPr>
              <w:t>1,491.7</w:t>
            </w:r>
          </w:p>
        </w:tc>
        <w:tc>
          <w:tcPr>
            <w:tcW w:w="1820" w:type="dxa"/>
            <w:vAlign w:val="bottom"/>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4,560.6</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4,390.9</w:t>
            </w:r>
          </w:p>
        </w:tc>
        <w:tc>
          <w:tcPr>
            <w:tcW w:w="0" w:type="dxa"/>
            <w:vAlign w:val="bottom"/>
          </w:tcPr>
          <w:p>
            <w:pPr>
              <w:spacing w:after="0"/>
              <w:rPr>
                <w:sz w:val="1"/>
                <w:szCs w:val="1"/>
                <w:color w:val="auto"/>
              </w:rPr>
            </w:pPr>
          </w:p>
        </w:tc>
      </w:tr>
      <w:tr>
        <w:trPr>
          <w:trHeight w:val="206"/>
        </w:trPr>
        <w:tc>
          <w:tcPr>
            <w:tcW w:w="432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6"/>
                <w:szCs w:val="16"/>
                <w:color w:val="auto"/>
              </w:rPr>
              <w:t xml:space="preserve">Europe </w:t>
            </w:r>
            <w:r>
              <w:rPr>
                <w:rFonts w:ascii="Times New Roman" w:cs="Times New Roman" w:eastAsia="Times New Roman" w:hAnsi="Times New Roman"/>
                <w:sz w:val="21"/>
                <w:szCs w:val="21"/>
                <w:color w:val="auto"/>
                <w:vertAlign w:val="superscript"/>
              </w:rPr>
              <w:t>(1)</w:t>
            </w:r>
          </w:p>
        </w:tc>
        <w:tc>
          <w:tcPr>
            <w:tcW w:w="500" w:type="dxa"/>
            <w:vAlign w:val="bottom"/>
            <w:shd w:val="clear" w:color="auto" w:fill="CCEEFF"/>
          </w:tcPr>
          <w:p>
            <w:pPr>
              <w:spacing w:after="0"/>
              <w:rPr>
                <w:sz w:val="17"/>
                <w:szCs w:val="17"/>
                <w:color w:val="auto"/>
              </w:rPr>
            </w:pPr>
          </w:p>
        </w:tc>
        <w:tc>
          <w:tcPr>
            <w:tcW w:w="196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829.1</w:t>
            </w:r>
          </w:p>
        </w:tc>
        <w:tc>
          <w:tcPr>
            <w:tcW w:w="154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rPr>
              <w:t>853.2</w:t>
            </w:r>
          </w:p>
        </w:tc>
        <w:tc>
          <w:tcPr>
            <w:tcW w:w="1820" w:type="dxa"/>
            <w:vAlign w:val="bottom"/>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2,703.4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2,507.4</w:t>
            </w:r>
          </w:p>
        </w:tc>
        <w:tc>
          <w:tcPr>
            <w:tcW w:w="0" w:type="dxa"/>
            <w:vAlign w:val="bottom"/>
          </w:tcPr>
          <w:p>
            <w:pPr>
              <w:spacing w:after="0"/>
              <w:rPr>
                <w:sz w:val="1"/>
                <w:szCs w:val="1"/>
                <w:color w:val="auto"/>
              </w:rPr>
            </w:pPr>
          </w:p>
        </w:tc>
      </w:tr>
      <w:tr>
        <w:trPr>
          <w:trHeight w:val="20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Latin America</w:t>
            </w:r>
          </w:p>
        </w:tc>
        <w:tc>
          <w:tcPr>
            <w:tcW w:w="500" w:type="dxa"/>
            <w:vAlign w:val="bottom"/>
          </w:tcPr>
          <w:p>
            <w:pPr>
              <w:spacing w:after="0"/>
              <w:rPr>
                <w:sz w:val="17"/>
                <w:szCs w:val="17"/>
                <w:color w:val="auto"/>
              </w:rPr>
            </w:pPr>
          </w:p>
        </w:tc>
        <w:tc>
          <w:tcPr>
            <w:tcW w:w="1960" w:type="dxa"/>
            <w:vAlign w:val="bottom"/>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201.3</w:t>
            </w:r>
          </w:p>
        </w:tc>
        <w:tc>
          <w:tcPr>
            <w:tcW w:w="154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rPr>
              <w:t>191.4</w:t>
            </w:r>
          </w:p>
        </w:tc>
        <w:tc>
          <w:tcPr>
            <w:tcW w:w="1820" w:type="dxa"/>
            <w:vAlign w:val="bottom"/>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586.3</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532.6</w:t>
            </w:r>
          </w:p>
        </w:tc>
        <w:tc>
          <w:tcPr>
            <w:tcW w:w="0" w:type="dxa"/>
            <w:vAlign w:val="bottom"/>
          </w:tcPr>
          <w:p>
            <w:pPr>
              <w:spacing w:after="0"/>
              <w:rPr>
                <w:sz w:val="1"/>
                <w:szCs w:val="1"/>
                <w:color w:val="auto"/>
              </w:rPr>
            </w:pPr>
          </w:p>
        </w:tc>
      </w:tr>
      <w:tr>
        <w:trPr>
          <w:trHeight w:val="206"/>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50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227.2</w:t>
            </w:r>
          </w:p>
        </w:tc>
        <w:tc>
          <w:tcPr>
            <w:tcW w:w="154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rPr>
              <w:t>221.6</w:t>
            </w:r>
          </w:p>
        </w:tc>
        <w:tc>
          <w:tcPr>
            <w:tcW w:w="1820" w:type="dxa"/>
            <w:vAlign w:val="bottom"/>
            <w:tcBorders>
              <w:bottom w:val="single" w:sz="8" w:color="auto"/>
            </w:tcBorders>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655.8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654.8</w:t>
            </w:r>
          </w:p>
        </w:tc>
        <w:tc>
          <w:tcPr>
            <w:tcW w:w="0" w:type="dxa"/>
            <w:vAlign w:val="bottom"/>
          </w:tcPr>
          <w:p>
            <w:pPr>
              <w:spacing w:after="0"/>
              <w:rPr>
                <w:sz w:val="1"/>
                <w:szCs w:val="1"/>
                <w:color w:val="auto"/>
              </w:rPr>
            </w:pPr>
          </w:p>
        </w:tc>
      </w:tr>
      <w:tr>
        <w:trPr>
          <w:trHeight w:val="190"/>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96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2,786.0</w:t>
            </w:r>
          </w:p>
        </w:tc>
        <w:tc>
          <w:tcPr>
            <w:tcW w:w="15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rPr>
              <w:t>2,757.9</w:t>
            </w:r>
          </w:p>
        </w:tc>
        <w:tc>
          <w:tcPr>
            <w:tcW w:w="18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8,506.1</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8,085.7</w:t>
            </w:r>
          </w:p>
        </w:tc>
        <w:tc>
          <w:tcPr>
            <w:tcW w:w="0" w:type="dxa"/>
            <w:vAlign w:val="bottom"/>
          </w:tcPr>
          <w:p>
            <w:pPr>
              <w:spacing w:after="0"/>
              <w:rPr>
                <w:sz w:val="1"/>
                <w:szCs w:val="1"/>
                <w:color w:val="auto"/>
              </w:rPr>
            </w:pPr>
          </w:p>
        </w:tc>
      </w:tr>
      <w:tr>
        <w:trPr>
          <w:trHeight w:val="218"/>
        </w:trPr>
        <w:tc>
          <w:tcPr>
            <w:tcW w:w="4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 by product categories:</w:t>
            </w:r>
          </w:p>
        </w:tc>
        <w:tc>
          <w:tcPr>
            <w:tcW w:w="5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Ceramic &amp; Stone</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960" w:type="dxa"/>
            <w:vAlign w:val="bottom"/>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1,109.6</w:t>
            </w:r>
          </w:p>
        </w:tc>
        <w:tc>
          <w:tcPr>
            <w:tcW w:w="154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rPr>
              <w:t>1,085.9</w:t>
            </w:r>
          </w:p>
        </w:tc>
        <w:tc>
          <w:tcPr>
            <w:tcW w:w="1820" w:type="dxa"/>
            <w:vAlign w:val="bottom"/>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3,382.7</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3,163.5</w:t>
            </w:r>
          </w:p>
        </w:tc>
        <w:tc>
          <w:tcPr>
            <w:tcW w:w="0" w:type="dxa"/>
            <w:vAlign w:val="bottom"/>
          </w:tcPr>
          <w:p>
            <w:pPr>
              <w:spacing w:after="0"/>
              <w:rPr>
                <w:sz w:val="1"/>
                <w:szCs w:val="1"/>
                <w:color w:val="auto"/>
              </w:rPr>
            </w:pPr>
          </w:p>
        </w:tc>
      </w:tr>
      <w:tr>
        <w:trPr>
          <w:trHeight w:val="20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Carpet &amp; Resilient</w:t>
            </w:r>
          </w:p>
        </w:tc>
        <w:tc>
          <w:tcPr>
            <w:tcW w:w="500" w:type="dxa"/>
            <w:vAlign w:val="bottom"/>
            <w:shd w:val="clear" w:color="auto" w:fill="CCEEFF"/>
          </w:tcPr>
          <w:p>
            <w:pPr>
              <w:spacing w:after="0"/>
              <w:rPr>
                <w:sz w:val="17"/>
                <w:szCs w:val="17"/>
                <w:color w:val="auto"/>
              </w:rPr>
            </w:pPr>
          </w:p>
        </w:tc>
        <w:tc>
          <w:tcPr>
            <w:tcW w:w="196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958.7</w:t>
            </w:r>
          </w:p>
        </w:tc>
        <w:tc>
          <w:tcPr>
            <w:tcW w:w="154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rPr>
              <w:t>958.0</w:t>
            </w:r>
          </w:p>
        </w:tc>
        <w:tc>
          <w:tcPr>
            <w:tcW w:w="1820" w:type="dxa"/>
            <w:vAlign w:val="bottom"/>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2,855.5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2,825.9</w:t>
            </w:r>
          </w:p>
        </w:tc>
        <w:tc>
          <w:tcPr>
            <w:tcW w:w="0" w:type="dxa"/>
            <w:vAlign w:val="bottom"/>
          </w:tcPr>
          <w:p>
            <w:pPr>
              <w:spacing w:after="0"/>
              <w:rPr>
                <w:sz w:val="1"/>
                <w:szCs w:val="1"/>
                <w:color w:val="auto"/>
              </w:rPr>
            </w:pPr>
          </w:p>
        </w:tc>
      </w:tr>
      <w:tr>
        <w:trPr>
          <w:trHeight w:val="20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Laminate &amp; Wood</w:t>
            </w:r>
          </w:p>
        </w:tc>
        <w:tc>
          <w:tcPr>
            <w:tcW w:w="500" w:type="dxa"/>
            <w:vAlign w:val="bottom"/>
          </w:tcPr>
          <w:p>
            <w:pPr>
              <w:spacing w:after="0"/>
              <w:rPr>
                <w:sz w:val="17"/>
                <w:szCs w:val="17"/>
                <w:color w:val="auto"/>
              </w:rPr>
            </w:pPr>
          </w:p>
        </w:tc>
        <w:tc>
          <w:tcPr>
            <w:tcW w:w="1960" w:type="dxa"/>
            <w:vAlign w:val="bottom"/>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441.7</w:t>
            </w:r>
          </w:p>
        </w:tc>
        <w:tc>
          <w:tcPr>
            <w:tcW w:w="154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rPr>
              <w:t>448.6</w:t>
            </w:r>
          </w:p>
        </w:tc>
        <w:tc>
          <w:tcPr>
            <w:tcW w:w="1820" w:type="dxa"/>
            <w:vAlign w:val="bottom"/>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1,364.0</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1,288.1</w:t>
            </w:r>
          </w:p>
        </w:tc>
        <w:tc>
          <w:tcPr>
            <w:tcW w:w="0" w:type="dxa"/>
            <w:vAlign w:val="bottom"/>
          </w:tcPr>
          <w:p>
            <w:pPr>
              <w:spacing w:after="0"/>
              <w:rPr>
                <w:sz w:val="1"/>
                <w:szCs w:val="1"/>
                <w:color w:val="auto"/>
              </w:rPr>
            </w:pPr>
          </w:p>
        </w:tc>
      </w:tr>
      <w:tr>
        <w:trPr>
          <w:trHeight w:val="206"/>
        </w:trPr>
        <w:tc>
          <w:tcPr>
            <w:tcW w:w="4320" w:type="dxa"/>
            <w:vAlign w:val="bottom"/>
            <w:tcBorders>
              <w:bottom w:val="single" w:sz="8" w:color="auto"/>
            </w:tcBorders>
            <w:shd w:val="clear" w:color="auto" w:fill="CCEEFF"/>
          </w:tcPr>
          <w:p>
            <w:pPr>
              <w:ind w:left="20"/>
              <w:spacing w:after="0" w:line="20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(2)</w:t>
            </w:r>
          </w:p>
        </w:tc>
        <w:tc>
          <w:tcPr>
            <w:tcW w:w="50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276.0</w:t>
            </w:r>
          </w:p>
        </w:tc>
        <w:tc>
          <w:tcPr>
            <w:tcW w:w="154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rPr>
              <w:t>265.4</w:t>
            </w:r>
          </w:p>
        </w:tc>
        <w:tc>
          <w:tcPr>
            <w:tcW w:w="1820" w:type="dxa"/>
            <w:vAlign w:val="bottom"/>
            <w:tcBorders>
              <w:bottom w:val="single" w:sz="8" w:color="auto"/>
            </w:tcBorders>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903.9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808.2</w:t>
            </w:r>
          </w:p>
        </w:tc>
        <w:tc>
          <w:tcPr>
            <w:tcW w:w="0" w:type="dxa"/>
            <w:vAlign w:val="bottom"/>
          </w:tcPr>
          <w:p>
            <w:pPr>
              <w:spacing w:after="0"/>
              <w:rPr>
                <w:sz w:val="1"/>
                <w:szCs w:val="1"/>
                <w:color w:val="auto"/>
              </w:rPr>
            </w:pPr>
          </w:p>
        </w:tc>
      </w:tr>
      <w:tr>
        <w:trPr>
          <w:trHeight w:val="203"/>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96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2,786.0</w:t>
            </w:r>
          </w:p>
        </w:tc>
        <w:tc>
          <w:tcPr>
            <w:tcW w:w="15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rPr>
              <w:t>2,757.9</w:t>
            </w:r>
          </w:p>
        </w:tc>
        <w:tc>
          <w:tcPr>
            <w:tcW w:w="18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8,506.1</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8,085.7</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123" w:hanging="123"/>
        <w:spacing w:after="0"/>
        <w:tabs>
          <w:tab w:leader="none" w:pos="123" w:val="left"/>
        </w:tabs>
        <w:numPr>
          <w:ilvl w:val="0"/>
          <w:numId w:val="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Russia revenue included in Europe.</w:t>
      </w:r>
    </w:p>
    <w:p>
      <w:pPr>
        <w:spacing w:after="0" w:line="57" w:lineRule="exact"/>
        <w:rPr>
          <w:rFonts w:ascii="Times New Roman" w:cs="Times New Roman" w:eastAsia="Times New Roman" w:hAnsi="Times New Roman"/>
          <w:sz w:val="15"/>
          <w:szCs w:val="15"/>
          <w:color w:val="auto"/>
          <w:vertAlign w:val="superscript"/>
        </w:rPr>
      </w:pPr>
    </w:p>
    <w:p>
      <w:pPr>
        <w:ind w:left="123" w:hanging="123"/>
        <w:spacing w:after="0"/>
        <w:tabs>
          <w:tab w:leader="none" w:pos="123" w:val="left"/>
        </w:tabs>
        <w:numPr>
          <w:ilvl w:val="0"/>
          <w:numId w:val="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Other includes roofing elements, insulation boards, chipboards and IP contracts.</w:t>
      </w:r>
    </w:p>
    <w:p>
      <w:pPr>
        <w:spacing w:after="0" w:line="200" w:lineRule="exact"/>
        <w:rPr>
          <w:sz w:val="20"/>
          <w:szCs w:val="20"/>
          <w:color w:val="auto"/>
        </w:rPr>
      </w:pPr>
    </w:p>
    <w:p>
      <w:pPr>
        <w:spacing w:after="0" w:line="27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7169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3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80" w:type="dxa"/>
            <w:vAlign w:val="bottom"/>
          </w:tcPr>
          <w:p>
            <w:pPr>
              <w:jc w:val="right"/>
              <w:ind w:right="60"/>
              <w:spacing w:after="0"/>
              <w:rPr>
                <w:sz w:val="20"/>
                <w:szCs w:val="20"/>
                <w:color w:val="auto"/>
              </w:rPr>
            </w:pPr>
            <w:r>
              <w:rPr>
                <w:rFonts w:ascii="Times New Roman" w:cs="Times New Roman" w:eastAsia="Times New Roman" w:hAnsi="Times New Roman"/>
                <w:sz w:val="13"/>
                <w:szCs w:val="13"/>
                <w:color w:val="auto"/>
              </w:rPr>
              <w:t>Three Months Ended</w:t>
            </w:r>
          </w:p>
        </w:tc>
        <w:tc>
          <w:tcPr>
            <w:tcW w:w="1520" w:type="dxa"/>
            <w:vAlign w:val="bottom"/>
          </w:tcPr>
          <w:p>
            <w:pPr>
              <w:spacing w:after="0"/>
              <w:rPr>
                <w:sz w:val="14"/>
                <w:szCs w:val="14"/>
                <w:color w:val="auto"/>
              </w:rPr>
            </w:pPr>
          </w:p>
        </w:tc>
        <w:tc>
          <w:tcPr>
            <w:tcW w:w="2700" w:type="dxa"/>
            <w:vAlign w:val="bottom"/>
            <w:gridSpan w:val="3"/>
          </w:tcPr>
          <w:p>
            <w:pPr>
              <w:ind w:left="560"/>
              <w:spacing w:after="0"/>
              <w:rPr>
                <w:sz w:val="20"/>
                <w:szCs w:val="20"/>
                <w:color w:val="auto"/>
              </w:rPr>
            </w:pPr>
            <w:r>
              <w:rPr>
                <w:rFonts w:ascii="Times New Roman" w:cs="Times New Roman" w:eastAsia="Times New Roman" w:hAnsi="Times New Roman"/>
                <w:sz w:val="13"/>
                <w:szCs w:val="13"/>
                <w:color w:val="auto"/>
              </w:rPr>
              <w:t>Nine Months Ended</w:t>
            </w:r>
          </w:p>
        </w:tc>
        <w:tc>
          <w:tcPr>
            <w:tcW w:w="0" w:type="dxa"/>
            <w:vAlign w:val="bottom"/>
          </w:tcPr>
          <w:p>
            <w:pPr>
              <w:spacing w:after="0"/>
              <w:rPr>
                <w:sz w:val="1"/>
                <w:szCs w:val="1"/>
                <w:color w:val="auto"/>
              </w:rPr>
            </w:pPr>
          </w:p>
        </w:tc>
      </w:tr>
      <w:tr>
        <w:trPr>
          <w:trHeight w:val="23"/>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(In millions)</w:t>
            </w: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4500" w:type="dxa"/>
            <w:vAlign w:val="bottom"/>
            <w:tcBorders>
              <w:bottom w:val="single" w:sz="8" w:color="auto"/>
            </w:tcBorders>
            <w:vMerge w:val="continue"/>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98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October 3, 2026</w:t>
            </w:r>
          </w:p>
        </w:tc>
        <w:tc>
          <w:tcPr>
            <w:tcW w:w="15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3"/>
                <w:szCs w:val="13"/>
                <w:color w:val="auto"/>
              </w:rPr>
              <w:t>September 27, 2025</w:t>
            </w:r>
          </w:p>
        </w:tc>
        <w:tc>
          <w:tcPr>
            <w:tcW w:w="13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October 3, 2026</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September 27, 2025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5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Global Ceramic</w:t>
            </w: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980" w:type="dxa"/>
            <w:vAlign w:val="bottom"/>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1,128.6</w:t>
            </w:r>
          </w:p>
        </w:tc>
        <w:tc>
          <w:tcPr>
            <w:tcW w:w="152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1,104.7</w:t>
            </w:r>
          </w:p>
        </w:tc>
        <w:tc>
          <w:tcPr>
            <w:tcW w:w="134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3,435.7</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3,219.3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Flooring NA</w:t>
            </w:r>
          </w:p>
        </w:tc>
        <w:tc>
          <w:tcPr>
            <w:tcW w:w="560" w:type="dxa"/>
            <w:vAlign w:val="bottom"/>
            <w:shd w:val="clear" w:color="auto" w:fill="CCEEFF"/>
          </w:tcPr>
          <w:p>
            <w:pPr>
              <w:spacing w:after="0"/>
              <w:rPr>
                <w:sz w:val="17"/>
                <w:szCs w:val="17"/>
                <w:color w:val="auto"/>
              </w:rPr>
            </w:pPr>
          </w:p>
        </w:tc>
        <w:tc>
          <w:tcPr>
            <w:tcW w:w="198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949.9</w:t>
            </w:r>
          </w:p>
        </w:tc>
        <w:tc>
          <w:tcPr>
            <w:tcW w:w="152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936.8</w:t>
            </w:r>
          </w:p>
        </w:tc>
        <w:tc>
          <w:tcPr>
            <w:tcW w:w="13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2,806.0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2,746.0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Flooring ROW</w:t>
            </w:r>
          </w:p>
        </w:tc>
        <w:tc>
          <w:tcPr>
            <w:tcW w:w="5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707.5</w:t>
            </w:r>
          </w:p>
        </w:tc>
        <w:tc>
          <w:tcPr>
            <w:tcW w:w="15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716.4</w:t>
            </w:r>
          </w:p>
        </w:tc>
        <w:tc>
          <w:tcPr>
            <w:tcW w:w="1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2,264.4</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2,120.4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98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2,786.0</w:t>
            </w:r>
          </w:p>
        </w:tc>
        <w:tc>
          <w:tcPr>
            <w:tcW w:w="152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2,757.9</w:t>
            </w: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8,506.1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8,085.7</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5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Global Ceramic</w:t>
            </w: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980" w:type="dxa"/>
            <w:vAlign w:val="bottom"/>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824.4</w:t>
            </w:r>
          </w:p>
        </w:tc>
        <w:tc>
          <w:tcPr>
            <w:tcW w:w="152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804.9</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2,498.0</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Flooring NA</w:t>
            </w:r>
          </w:p>
        </w:tc>
        <w:tc>
          <w:tcPr>
            <w:tcW w:w="560" w:type="dxa"/>
            <w:vAlign w:val="bottom"/>
            <w:shd w:val="clear" w:color="auto" w:fill="CCEEFF"/>
          </w:tcPr>
          <w:p>
            <w:pPr>
              <w:spacing w:after="0"/>
              <w:rPr>
                <w:sz w:val="17"/>
                <w:szCs w:val="17"/>
                <w:color w:val="auto"/>
              </w:rPr>
            </w:pPr>
          </w:p>
        </w:tc>
        <w:tc>
          <w:tcPr>
            <w:tcW w:w="198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711.5</w:t>
            </w:r>
          </w:p>
        </w:tc>
        <w:tc>
          <w:tcPr>
            <w:tcW w:w="152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729.8</w:t>
            </w:r>
          </w:p>
        </w:tc>
        <w:tc>
          <w:tcPr>
            <w:tcW w:w="13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2,136.8</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Flooring ROW</w:t>
            </w:r>
          </w:p>
        </w:tc>
        <w:tc>
          <w:tcPr>
            <w:tcW w:w="560" w:type="dxa"/>
            <w:vAlign w:val="bottom"/>
          </w:tcPr>
          <w:p>
            <w:pPr>
              <w:spacing w:after="0"/>
              <w:rPr>
                <w:sz w:val="17"/>
                <w:szCs w:val="17"/>
                <w:color w:val="auto"/>
              </w:rPr>
            </w:pPr>
          </w:p>
        </w:tc>
        <w:tc>
          <w:tcPr>
            <w:tcW w:w="1980" w:type="dxa"/>
            <w:vAlign w:val="bottom"/>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540.6</w:t>
            </w:r>
          </w:p>
        </w:tc>
        <w:tc>
          <w:tcPr>
            <w:tcW w:w="152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568.4</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1,725.5</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intersegment eliminations</w:t>
            </w:r>
          </w:p>
        </w:tc>
        <w:tc>
          <w:tcPr>
            <w:tcW w:w="56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(0.2)</w:t>
            </w:r>
          </w:p>
        </w:tc>
        <w:tc>
          <w:tcPr>
            <w:tcW w:w="152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(0.1)</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9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2,076.3</w:t>
            </w:r>
          </w:p>
        </w:tc>
        <w:tc>
          <w:tcPr>
            <w:tcW w:w="15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2,103.0</w:t>
            </w:r>
          </w:p>
        </w:tc>
        <w:tc>
          <w:tcPr>
            <w:tcW w:w="13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6,359.3</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6,133.2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Selling, general and administrative expenses:</w:t>
            </w:r>
          </w:p>
        </w:tc>
        <w:tc>
          <w:tcPr>
            <w:tcW w:w="5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Global Ceramic</w:t>
            </w: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980" w:type="dxa"/>
            <w:vAlign w:val="bottom"/>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238.6</w:t>
            </w:r>
          </w:p>
        </w:tc>
        <w:tc>
          <w:tcPr>
            <w:tcW w:w="152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228.2</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726.6</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Flooring NA</w:t>
            </w:r>
          </w:p>
        </w:tc>
        <w:tc>
          <w:tcPr>
            <w:tcW w:w="560" w:type="dxa"/>
            <w:vAlign w:val="bottom"/>
            <w:shd w:val="clear" w:color="auto" w:fill="CCEEFF"/>
          </w:tcPr>
          <w:p>
            <w:pPr>
              <w:spacing w:after="0"/>
              <w:rPr>
                <w:sz w:val="17"/>
                <w:szCs w:val="17"/>
                <w:color w:val="auto"/>
              </w:rPr>
            </w:pPr>
          </w:p>
        </w:tc>
        <w:tc>
          <w:tcPr>
            <w:tcW w:w="198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166.5</w:t>
            </w:r>
          </w:p>
        </w:tc>
        <w:tc>
          <w:tcPr>
            <w:tcW w:w="152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152.6</w:t>
            </w:r>
          </w:p>
        </w:tc>
        <w:tc>
          <w:tcPr>
            <w:tcW w:w="13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495.8</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Flooring ROW</w:t>
            </w:r>
          </w:p>
        </w:tc>
        <w:tc>
          <w:tcPr>
            <w:tcW w:w="560" w:type="dxa"/>
            <w:vAlign w:val="bottom"/>
          </w:tcPr>
          <w:p>
            <w:pPr>
              <w:spacing w:after="0"/>
              <w:rPr>
                <w:sz w:val="17"/>
                <w:szCs w:val="17"/>
                <w:color w:val="auto"/>
              </w:rPr>
            </w:pPr>
          </w:p>
        </w:tc>
        <w:tc>
          <w:tcPr>
            <w:tcW w:w="1980" w:type="dxa"/>
            <w:vAlign w:val="bottom"/>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100.9</w:t>
            </w:r>
          </w:p>
        </w:tc>
        <w:tc>
          <w:tcPr>
            <w:tcW w:w="152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104.2</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323.7</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intersegment eliminations</w:t>
            </w:r>
          </w:p>
        </w:tc>
        <w:tc>
          <w:tcPr>
            <w:tcW w:w="56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16.0</w:t>
            </w:r>
          </w:p>
        </w:tc>
        <w:tc>
          <w:tcPr>
            <w:tcW w:w="152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33.2</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47.4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9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522.0</w:t>
            </w:r>
          </w:p>
        </w:tc>
        <w:tc>
          <w:tcPr>
            <w:tcW w:w="15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518.2</w:t>
            </w:r>
          </w:p>
        </w:tc>
        <w:tc>
          <w:tcPr>
            <w:tcW w:w="13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1,593.5</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1,531.0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5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Global Ceramic</w:t>
            </w: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980" w:type="dxa"/>
            <w:vAlign w:val="bottom"/>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65.6</w:t>
            </w:r>
          </w:p>
        </w:tc>
        <w:tc>
          <w:tcPr>
            <w:tcW w:w="152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71.6</w:t>
            </w:r>
          </w:p>
        </w:tc>
        <w:tc>
          <w:tcPr>
            <w:tcW w:w="134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211.1</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Flooring NA</w:t>
            </w:r>
          </w:p>
        </w:tc>
        <w:tc>
          <w:tcPr>
            <w:tcW w:w="560" w:type="dxa"/>
            <w:vAlign w:val="bottom"/>
            <w:shd w:val="clear" w:color="auto" w:fill="CCEEFF"/>
          </w:tcPr>
          <w:p>
            <w:pPr>
              <w:spacing w:after="0"/>
              <w:rPr>
                <w:sz w:val="17"/>
                <w:szCs w:val="17"/>
                <w:color w:val="auto"/>
              </w:rPr>
            </w:pPr>
          </w:p>
        </w:tc>
        <w:tc>
          <w:tcPr>
            <w:tcW w:w="198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71.9</w:t>
            </w:r>
          </w:p>
        </w:tc>
        <w:tc>
          <w:tcPr>
            <w:tcW w:w="152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54.4</w:t>
            </w:r>
          </w:p>
        </w:tc>
        <w:tc>
          <w:tcPr>
            <w:tcW w:w="13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173.4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Flooring ROW</w:t>
            </w:r>
          </w:p>
        </w:tc>
        <w:tc>
          <w:tcPr>
            <w:tcW w:w="5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66.0</w:t>
            </w:r>
          </w:p>
        </w:tc>
        <w:tc>
          <w:tcPr>
            <w:tcW w:w="15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43.8</w:t>
            </w:r>
          </w:p>
        </w:tc>
        <w:tc>
          <w:tcPr>
            <w:tcW w:w="1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215.2</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98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203.5</w:t>
            </w:r>
          </w:p>
        </w:tc>
        <w:tc>
          <w:tcPr>
            <w:tcW w:w="152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169.8</w:t>
            </w: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599.7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7040" w:type="dxa"/>
            <w:vAlign w:val="bottom"/>
            <w:gridSpan w:val="3"/>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Reconciliation of segment operating income (loss) to consolidated earnings (loss) before</w:t>
            </w:r>
          </w:p>
        </w:tc>
        <w:tc>
          <w:tcPr>
            <w:tcW w:w="15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5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Unallocated amounts:</w:t>
            </w:r>
          </w:p>
        </w:tc>
        <w:tc>
          <w:tcPr>
            <w:tcW w:w="5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Corporate expense</w:t>
            </w: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98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15.8</w:t>
            </w:r>
          </w:p>
        </w:tc>
        <w:tc>
          <w:tcPr>
            <w:tcW w:w="152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33.1</w:t>
            </w:r>
          </w:p>
        </w:tc>
        <w:tc>
          <w:tcPr>
            <w:tcW w:w="13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46.4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and expense, net</w:t>
            </w:r>
          </w:p>
        </w:tc>
        <w:tc>
          <w:tcPr>
            <w:tcW w:w="560" w:type="dxa"/>
            <w:vAlign w:val="bottom"/>
          </w:tcPr>
          <w:p>
            <w:pPr>
              <w:spacing w:after="0"/>
              <w:rPr>
                <w:sz w:val="17"/>
                <w:szCs w:val="17"/>
                <w:color w:val="auto"/>
              </w:rPr>
            </w:pPr>
          </w:p>
        </w:tc>
        <w:tc>
          <w:tcPr>
            <w:tcW w:w="1980" w:type="dxa"/>
            <w:vAlign w:val="bottom"/>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2.8</w:t>
            </w:r>
          </w:p>
        </w:tc>
        <w:tc>
          <w:tcPr>
            <w:tcW w:w="15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(0.4)</w:t>
            </w:r>
          </w:p>
        </w:tc>
        <w:tc>
          <w:tcPr>
            <w:tcW w:w="134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4.7</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56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1.6</w:t>
            </w:r>
          </w:p>
        </w:tc>
        <w:tc>
          <w:tcPr>
            <w:tcW w:w="152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5.0</w:t>
            </w: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8.5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9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183.3</w:t>
            </w:r>
          </w:p>
        </w:tc>
        <w:tc>
          <w:tcPr>
            <w:tcW w:w="15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132.1</w:t>
            </w:r>
          </w:p>
        </w:tc>
        <w:tc>
          <w:tcPr>
            <w:tcW w:w="1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540.1</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402.7</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5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Global Ceramic</w:t>
            </w: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980" w:type="dxa"/>
            <w:vAlign w:val="bottom"/>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53.1</w:t>
            </w:r>
          </w:p>
        </w:tc>
        <w:tc>
          <w:tcPr>
            <w:tcW w:w="152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67.4</w:t>
            </w:r>
          </w:p>
        </w:tc>
        <w:tc>
          <w:tcPr>
            <w:tcW w:w="134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163.2</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Flooring NA</w:t>
            </w:r>
          </w:p>
        </w:tc>
        <w:tc>
          <w:tcPr>
            <w:tcW w:w="560" w:type="dxa"/>
            <w:vAlign w:val="bottom"/>
            <w:shd w:val="clear" w:color="auto" w:fill="CCEEFF"/>
          </w:tcPr>
          <w:p>
            <w:pPr>
              <w:spacing w:after="0"/>
              <w:rPr>
                <w:sz w:val="17"/>
                <w:szCs w:val="17"/>
                <w:color w:val="auto"/>
              </w:rPr>
            </w:pPr>
          </w:p>
        </w:tc>
        <w:tc>
          <w:tcPr>
            <w:tcW w:w="198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55.0</w:t>
            </w:r>
          </w:p>
        </w:tc>
        <w:tc>
          <w:tcPr>
            <w:tcW w:w="152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56.4</w:t>
            </w:r>
          </w:p>
        </w:tc>
        <w:tc>
          <w:tcPr>
            <w:tcW w:w="13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188.5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Flooring ROW</w:t>
            </w:r>
          </w:p>
        </w:tc>
        <w:tc>
          <w:tcPr>
            <w:tcW w:w="560" w:type="dxa"/>
            <w:vAlign w:val="bottom"/>
          </w:tcPr>
          <w:p>
            <w:pPr>
              <w:spacing w:after="0"/>
              <w:rPr>
                <w:sz w:val="17"/>
                <w:szCs w:val="17"/>
                <w:color w:val="auto"/>
              </w:rPr>
            </w:pPr>
          </w:p>
        </w:tc>
        <w:tc>
          <w:tcPr>
            <w:tcW w:w="1980" w:type="dxa"/>
            <w:vAlign w:val="bottom"/>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42.3</w:t>
            </w:r>
          </w:p>
        </w:tc>
        <w:tc>
          <w:tcPr>
            <w:tcW w:w="152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44.8</w:t>
            </w:r>
          </w:p>
        </w:tc>
        <w:tc>
          <w:tcPr>
            <w:tcW w:w="134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136.9</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intersegment eliminations</w:t>
            </w:r>
          </w:p>
        </w:tc>
        <w:tc>
          <w:tcPr>
            <w:tcW w:w="56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0.9</w:t>
            </w:r>
          </w:p>
        </w:tc>
        <w:tc>
          <w:tcPr>
            <w:tcW w:w="152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1.7</w:t>
            </w: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9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151.3</w:t>
            </w:r>
          </w:p>
        </w:tc>
        <w:tc>
          <w:tcPr>
            <w:tcW w:w="15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170.3</w:t>
            </w:r>
          </w:p>
        </w:tc>
        <w:tc>
          <w:tcPr>
            <w:tcW w:w="1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492.5</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Capital expenditures (excluding acquisitions):</w:t>
            </w:r>
          </w:p>
        </w:tc>
        <w:tc>
          <w:tcPr>
            <w:tcW w:w="5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Global Ceramic</w:t>
            </w: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980" w:type="dxa"/>
            <w:vAlign w:val="bottom"/>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40.3</w:t>
            </w:r>
          </w:p>
        </w:tc>
        <w:tc>
          <w:tcPr>
            <w:tcW w:w="152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22.3</w:t>
            </w:r>
          </w:p>
        </w:tc>
        <w:tc>
          <w:tcPr>
            <w:tcW w:w="134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128.1</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Flooring NA</w:t>
            </w:r>
          </w:p>
        </w:tc>
        <w:tc>
          <w:tcPr>
            <w:tcW w:w="560" w:type="dxa"/>
            <w:vAlign w:val="bottom"/>
            <w:shd w:val="clear" w:color="auto" w:fill="CCEEFF"/>
          </w:tcPr>
          <w:p>
            <w:pPr>
              <w:spacing w:after="0"/>
              <w:rPr>
                <w:sz w:val="17"/>
                <w:szCs w:val="17"/>
                <w:color w:val="auto"/>
              </w:rPr>
            </w:pPr>
          </w:p>
        </w:tc>
        <w:tc>
          <w:tcPr>
            <w:tcW w:w="198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19.4</w:t>
            </w:r>
          </w:p>
        </w:tc>
        <w:tc>
          <w:tcPr>
            <w:tcW w:w="152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27.2</w:t>
            </w:r>
          </w:p>
        </w:tc>
        <w:tc>
          <w:tcPr>
            <w:tcW w:w="13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67.4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Flooring ROW</w:t>
            </w:r>
          </w:p>
        </w:tc>
        <w:tc>
          <w:tcPr>
            <w:tcW w:w="560" w:type="dxa"/>
            <w:vAlign w:val="bottom"/>
          </w:tcPr>
          <w:p>
            <w:pPr>
              <w:spacing w:after="0"/>
              <w:rPr>
                <w:sz w:val="17"/>
                <w:szCs w:val="17"/>
                <w:color w:val="auto"/>
              </w:rPr>
            </w:pPr>
          </w:p>
        </w:tc>
        <w:tc>
          <w:tcPr>
            <w:tcW w:w="1980" w:type="dxa"/>
            <w:vAlign w:val="bottom"/>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19.3</w:t>
            </w:r>
          </w:p>
        </w:tc>
        <w:tc>
          <w:tcPr>
            <w:tcW w:w="152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26.8</w:t>
            </w:r>
          </w:p>
        </w:tc>
        <w:tc>
          <w:tcPr>
            <w:tcW w:w="134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71.8</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intersegment eliminations</w:t>
            </w:r>
          </w:p>
        </w:tc>
        <w:tc>
          <w:tcPr>
            <w:tcW w:w="56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1.8</w:t>
            </w:r>
          </w:p>
        </w:tc>
        <w:tc>
          <w:tcPr>
            <w:tcW w:w="152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9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80.8</w:t>
            </w:r>
          </w:p>
        </w:tc>
        <w:tc>
          <w:tcPr>
            <w:tcW w:w="15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76.3</w:t>
            </w:r>
          </w:p>
        </w:tc>
        <w:tc>
          <w:tcPr>
            <w:tcW w:w="1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271.5</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8"/>
        </w:trPr>
        <w:tc>
          <w:tcPr>
            <w:tcW w:w="4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jc w:val="right"/>
              <w:ind w:right="1260"/>
              <w:spacing w:after="0"/>
              <w:rPr>
                <w:sz w:val="20"/>
                <w:szCs w:val="20"/>
                <w:color w:val="auto"/>
              </w:rPr>
            </w:pPr>
            <w:r>
              <w:rPr>
                <w:rFonts w:ascii="Times New Roman" w:cs="Times New Roman" w:eastAsia="Times New Roman" w:hAnsi="Times New Roman"/>
                <w:sz w:val="16"/>
                <w:szCs w:val="16"/>
                <w:color w:val="auto"/>
              </w:rPr>
              <w:t>22</w:t>
            </w:r>
          </w:p>
        </w:tc>
        <w:tc>
          <w:tcPr>
            <w:tcW w:w="1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5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-27305</wp:posOffset>
            </wp:positionV>
            <wp:extent cx="3302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Commitments and Contingencies</w:t>
      </w:r>
    </w:p>
    <w:p>
      <w:pPr>
        <w:spacing w:after="0" w:line="255" w:lineRule="exact"/>
        <w:rPr>
          <w:sz w:val="20"/>
          <w:szCs w:val="20"/>
          <w:color w:val="auto"/>
        </w:rPr>
      </w:pPr>
    </w:p>
    <w:p>
      <w:pPr>
        <w:jc w:val="both"/>
        <w:ind w:firstLine="582"/>
        <w:spacing w:after="0" w:line="309" w:lineRule="auto"/>
        <w:rPr>
          <w:sz w:val="20"/>
          <w:szCs w:val="20"/>
          <w:color w:val="auto"/>
        </w:rPr>
      </w:pPr>
      <w:r>
        <w:rPr>
          <w:rFonts w:ascii="Times New Roman" w:cs="Times New Roman" w:eastAsia="Times New Roman" w:hAnsi="Times New Roman"/>
          <w:sz w:val="16"/>
          <w:szCs w:val="16"/>
          <w:color w:val="auto"/>
        </w:rPr>
        <w:t>From time to time in the regular course of its business, the Company is involved in various lawsuits, claims, investigations and other legal matters. Except as noted below, there are no material legal proceedings pending or known by the Company to be contemplated to which the Company is a party or to which any of its property is subject.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Perfluoroalkyl and Polyfluoroalkyl Substances (“PFAS”) Litigation</w:t>
      </w:r>
    </w:p>
    <w:p>
      <w:pPr>
        <w:spacing w:after="0" w:line="255" w:lineRule="exact"/>
        <w:rPr>
          <w:sz w:val="20"/>
          <w:szCs w:val="20"/>
          <w:color w:val="auto"/>
        </w:rPr>
      </w:pPr>
    </w:p>
    <w:p>
      <w:pPr>
        <w:jc w:val="both"/>
        <w:ind w:right="20" w:firstLine="582"/>
        <w:spacing w:after="0" w:line="301" w:lineRule="auto"/>
        <w:rPr>
          <w:sz w:val="20"/>
          <w:szCs w:val="20"/>
          <w:color w:val="auto"/>
        </w:rPr>
      </w:pPr>
      <w:r>
        <w:rPr>
          <w:rFonts w:ascii="Times New Roman" w:cs="Times New Roman" w:eastAsia="Times New Roman" w:hAnsi="Times New Roman"/>
          <w:sz w:val="16"/>
          <w:szCs w:val="16"/>
          <w:color w:val="auto"/>
        </w:rPr>
        <w:t>The Company has been named as a defendant in a number of lawsuits in Georgia, Alabama, and South Carolina relating to carpet products that allegedly contained perfluoroalkyl and polyfluoroalkyl substances (“PFAS”). These lawsuits have been brought against chemical manufacturers and carpet manufacturers and have been brought by four categories of plaintiffs: (i) municipalities and counties alleging contamination of their drinking water sources with PFAS, (ii) counties alleging contamination of their landfills with PFAS, (iii) private landowners alleging contamination of their real property with PFAS, and (iv) rate payers alleging that their drinking water rates have increased due to the costs associated with remediation of PFAS.</w:t>
      </w:r>
    </w:p>
    <w:p>
      <w:pPr>
        <w:spacing w:after="0" w:line="192" w:lineRule="exact"/>
        <w:rPr>
          <w:sz w:val="20"/>
          <w:szCs w:val="20"/>
          <w:color w:val="auto"/>
        </w:rPr>
      </w:pPr>
    </w:p>
    <w:p>
      <w:pPr>
        <w:jc w:val="both"/>
        <w:ind w:right="20" w:firstLine="582"/>
        <w:spacing w:after="0" w:line="298" w:lineRule="auto"/>
        <w:rPr>
          <w:sz w:val="20"/>
          <w:szCs w:val="20"/>
          <w:color w:val="auto"/>
        </w:rPr>
      </w:pPr>
      <w:r>
        <w:rPr>
          <w:rFonts w:ascii="Times New Roman" w:cs="Times New Roman" w:eastAsia="Times New Roman" w:hAnsi="Times New Roman"/>
          <w:sz w:val="16"/>
          <w:szCs w:val="16"/>
          <w:color w:val="auto"/>
        </w:rPr>
        <w:t>The municipalities and counties assert common law and statutory claims seeking to recover the costs of installing water filtration systems to filter out the PFAS that is allegedly in the drinking water sources. The counties that claim contamination of their landfills assert common law and statutory claims seeking to recover the costs of remediating the PFAS that is allegedly in the landfills. The private landowners allege that biosolids sludge applied on or near their real property contained PFAS or allege that PFAS from nearby manufacturing facilities ended up on their real property. Those landowners assert common law and statutory claims seeking to recover the costs of remediating the PFAS that is allegedly on their real property. Finally, the rate payers that claim their drinking water rates have increased due to PFAS include a proposed class of water subscribers with the Rome Water and Sewer Division and/or the Floyd County Water Department in Georgia. The rate payers assert common law and statutory claims and seek to recover past and future damages due to the rate increases.</w:t>
      </w:r>
    </w:p>
    <w:p>
      <w:pPr>
        <w:spacing w:after="0" w:line="1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Company believes that it has significant defenses against the allegations in these lawsuits and will continue to vigorously defend against these claims.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Silica Litigation</w:t>
      </w:r>
    </w:p>
    <w:p>
      <w:pPr>
        <w:spacing w:after="0" w:line="255" w:lineRule="exact"/>
        <w:rPr>
          <w:sz w:val="20"/>
          <w:szCs w:val="20"/>
          <w:color w:val="auto"/>
        </w:rPr>
      </w:pPr>
    </w:p>
    <w:p>
      <w:pPr>
        <w:jc w:val="both"/>
        <w:ind w:right="20" w:firstLine="582"/>
        <w:spacing w:after="0" w:line="309" w:lineRule="auto"/>
        <w:rPr>
          <w:sz w:val="20"/>
          <w:szCs w:val="20"/>
          <w:color w:val="auto"/>
        </w:rPr>
      </w:pPr>
      <w:r>
        <w:rPr>
          <w:rFonts w:ascii="Times New Roman" w:cs="Times New Roman" w:eastAsia="Times New Roman" w:hAnsi="Times New Roman"/>
          <w:sz w:val="16"/>
          <w:szCs w:val="16"/>
          <w:color w:val="auto"/>
        </w:rPr>
        <w:t>The Company is subject to certain claims related to exposure to silica dust that have been submitted against it or its subsidiaries. A majority of these outstanding claims have been filed against the Company by a single plaintiff group in California. Approximately 480 cases are currently outstanding, including 113 of which that are pending dismissal. The Company believes it has substantial defenses against the allegations and will continue to vigorously defend against these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Belgian Tax Matter</w:t>
      </w:r>
    </w:p>
    <w:p>
      <w:pPr>
        <w:spacing w:after="0" w:line="242" w:lineRule="exact"/>
        <w:rPr>
          <w:sz w:val="20"/>
          <w:szCs w:val="20"/>
          <w:color w:val="auto"/>
        </w:rPr>
      </w:pPr>
    </w:p>
    <w:p>
      <w:pPr>
        <w:jc w:val="both"/>
        <w:ind w:right="20" w:firstLine="582"/>
        <w:spacing w:after="0" w:line="301" w:lineRule="auto"/>
        <w:rPr>
          <w:sz w:val="20"/>
          <w:szCs w:val="20"/>
          <w:color w:val="auto"/>
        </w:rPr>
      </w:pPr>
      <w:r>
        <w:rPr>
          <w:rFonts w:ascii="Times New Roman" w:cs="Times New Roman" w:eastAsia="Times New Roman" w:hAnsi="Times New Roman"/>
          <w:sz w:val="16"/>
          <w:szCs w:val="16"/>
          <w:color w:val="auto"/>
        </w:rPr>
        <w:t>The Company is in a dispute with the Belgian Tax Authority (the “BTA”) in relation to certain intercompany loans to or from IVC BV, Unilin BV, and Unilin Holding BV, each of which is one of the Company’s subsidiaries in Belgium. The BTA has asserted that these loans were not genuine loans for Belgian tax purposes. The BTA issued assessments for the years ended December 31, 2017, 2018, 2019, 2020, and 2021 totaling approximately €1.2 billion (including penalties but excluding late payment interest) combined on the three entities, whereby it rejected certain interest deductions and the deduction for dividends received and asserted the inclusion of income related to these loans. Each of these assessments is under dispute. Certain matters remain in the administrative appeals process before the BTA, while others have advanced to proceedings in the Belgian courts. The Company believes that its tax position in Belgium was correct and intends to vigorously defend its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73660</wp:posOffset>
            </wp:positionV>
            <wp:extent cx="7171690"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w:t>
      </w:r>
    </w:p>
    <w:p>
      <w:pPr>
        <w:spacing w:after="0" w:line="242" w:lineRule="exact"/>
        <w:rPr>
          <w:sz w:val="20"/>
          <w:szCs w:val="20"/>
          <w:color w:val="auto"/>
        </w:rPr>
      </w:pPr>
    </w:p>
    <w:p>
      <w:pPr>
        <w:jc w:val="both"/>
        <w:ind w:firstLine="582"/>
        <w:spacing w:after="0" w:line="301" w:lineRule="auto"/>
        <w:rPr>
          <w:sz w:val="20"/>
          <w:szCs w:val="20"/>
          <w:color w:val="auto"/>
        </w:rPr>
      </w:pPr>
      <w:r>
        <w:rPr>
          <w:rFonts w:ascii="Times New Roman" w:cs="Times New Roman" w:eastAsia="Times New Roman" w:hAnsi="Times New Roman"/>
          <w:sz w:val="16"/>
          <w:szCs w:val="16"/>
          <w:color w:val="auto"/>
        </w:rPr>
        <w:t>The Company believes that adequate provisions for resolution of all contingencies, claims and pending litigation have been made for probable losses that are reasonably estimable. These contingencies are subject to significant uncertainties and the Company is unable to estimate the amount or range of loss, if any, in excess of amounts accrued. The Company does not believe that the ultimate outcome of these actions will be significantly above amounts accrued, or that the ultimate outcome of these actions will have a material adverse effect on its financial condition; however, litigation is inherently uncertain and actual losses could result in unfavorable outcomes that could have a material adverse effect on its results of operations, cash flows or liquidity in a given quarter or year.</w:t>
      </w:r>
    </w:p>
    <w:p>
      <w:pPr>
        <w:spacing w:after="0" w:line="192" w:lineRule="exact"/>
        <w:rPr>
          <w:sz w:val="20"/>
          <w:szCs w:val="20"/>
          <w:color w:val="auto"/>
        </w:rPr>
      </w:pPr>
    </w:p>
    <w:p>
      <w:pPr>
        <w:jc w:val="both"/>
        <w:ind w:firstLine="582"/>
        <w:spacing w:after="0" w:line="298" w:lineRule="auto"/>
        <w:rPr>
          <w:sz w:val="20"/>
          <w:szCs w:val="20"/>
          <w:color w:val="auto"/>
        </w:rPr>
      </w:pPr>
      <w:r>
        <w:rPr>
          <w:rFonts w:ascii="Times New Roman" w:cs="Times New Roman" w:eastAsia="Times New Roman" w:hAnsi="Times New Roman"/>
          <w:sz w:val="16"/>
          <w:szCs w:val="16"/>
          <w:color w:val="auto"/>
        </w:rPr>
        <w:t>The Company is subject to various federal, state, local and foreign environmental health and safety laws and regulations, including those governing air emissions, wastewater discharges, the use, storage, treatment, recycling and disposal of solid and hazardous materials and finished product, and the cleanup of contamination associated therewith. Because of the nature of the Company’s business, the Company has incurred, and will continue to incur, costs relating to compliance with such laws and regulations. The Company is involved in various proceedings relating to environmental matters and is currently engaged in environmental investigation, remediation and post-closure care programs at certain sites. The Company has provided accruals for such activities that it has determined to be both probable and reasonably estimable. The Company does not expect that the ultimate liability with respect to such activities will have a material adverse effect on its financial condition; however, litigation is inherently uncertain and actual losses could result in unfavorable outcomes that could have a material adverse effect on its results of operations, cash flows or liquidity in a given quarter or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Debt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Senior Credit Facility</w:t>
      </w:r>
    </w:p>
    <w:p>
      <w:pPr>
        <w:spacing w:after="0" w:line="255" w:lineRule="exact"/>
        <w:rPr>
          <w:sz w:val="20"/>
          <w:szCs w:val="20"/>
          <w:color w:val="auto"/>
        </w:rPr>
      </w:pPr>
    </w:p>
    <w:p>
      <w:pPr>
        <w:jc w:val="both"/>
        <w:ind w:firstLine="582"/>
        <w:spacing w:after="0" w:line="297" w:lineRule="auto"/>
        <w:rPr>
          <w:sz w:val="20"/>
          <w:szCs w:val="20"/>
          <w:color w:val="auto"/>
        </w:rPr>
      </w:pPr>
      <w:r>
        <w:rPr>
          <w:rFonts w:ascii="Times New Roman" w:cs="Times New Roman" w:eastAsia="Times New Roman" w:hAnsi="Times New Roman"/>
          <w:sz w:val="16"/>
          <w:szCs w:val="16"/>
          <w:color w:val="auto"/>
        </w:rPr>
        <w:t>On May 12, 2026, the Company entered into a senior revolving credit agreement (the “Senior Credit Facility”), by and among the Company and certain of its domestic and foreign subsidiaries, as borrowers (the “Borrowers”), certain lenders party thereto from time to time (the “Lenders”), JPMorgan Chase Bank, N.A. and J.P. Morgan SE, as U.S. administrative agent and non-U.S. administrative agent (together, the “Administrative Agent”). Contemporaneously with the entry into the Senior Credit Facility, the Company terminated all outstanding commitments and repaid all outstanding obligations under its existing senior revolving credit facility. The Senior Credit Facility provides for unsecured revolving credit commitments in an initial aggregate amount of up to $1,500.0 million that includes: (i) revolving credit loans up to the maximum amount available under the Senior Credit Facility, (ii) the issuance of letters of credit up to a $125.0 million sublimit, and (iii) swingline loans in an initial aggregate amount up to $150.0 million, with an accordion feature pursuant to which the Borrowers may request to increase the revolving commitments by an additional aggregate amount of up to $600.0 million, subject to the satisfaction of certain conditions. The proceeds of any borrowings under the Senior Credit Facility will be used to (a) refinance the Company’s existing senior revolving credit facility, (b) pay fees, commissions and expenses in connection with the transaction related to the Senior Credit Facility and (c) finance ongoing working capital requirements and other general corporate purposes.</w:t>
      </w:r>
    </w:p>
    <w:p>
      <w:pPr>
        <w:spacing w:after="0" w:line="197" w:lineRule="exact"/>
        <w:rPr>
          <w:sz w:val="20"/>
          <w:szCs w:val="20"/>
          <w:color w:val="auto"/>
        </w:rPr>
      </w:pPr>
    </w:p>
    <w:p>
      <w:pPr>
        <w:jc w:val="both"/>
        <w:ind w:firstLine="582"/>
        <w:spacing w:after="0" w:line="301" w:lineRule="auto"/>
        <w:rPr>
          <w:sz w:val="20"/>
          <w:szCs w:val="20"/>
          <w:color w:val="auto"/>
        </w:rPr>
      </w:pPr>
      <w:r>
        <w:rPr>
          <w:rFonts w:ascii="Times New Roman" w:cs="Times New Roman" w:eastAsia="Times New Roman" w:hAnsi="Times New Roman"/>
          <w:sz w:val="16"/>
          <w:szCs w:val="16"/>
          <w:color w:val="auto"/>
        </w:rPr>
        <w:t>The Senior Credit Facility is scheduled to mature on May 12, 2031. The Company may request up to two extensions of the maturity date, with each extension subject to lender consent and certain other conditions and providing for an extended maturity date no later than five years following the applicable extension date. The Company may voluntarily prepay borrowings and terminate or reduce the commitments under the Senior Credit Facility, subject to applicable notice requirements, without premium or penalty (other than customary breakage costs).</w:t>
      </w:r>
    </w:p>
    <w:p>
      <w:pPr>
        <w:spacing w:after="0" w:line="193" w:lineRule="exact"/>
        <w:rPr>
          <w:sz w:val="20"/>
          <w:szCs w:val="20"/>
          <w:color w:val="auto"/>
        </w:rPr>
      </w:pPr>
    </w:p>
    <w:p>
      <w:pPr>
        <w:jc w:val="both"/>
        <w:ind w:firstLine="582"/>
        <w:spacing w:after="0" w:line="309" w:lineRule="auto"/>
        <w:rPr>
          <w:sz w:val="20"/>
          <w:szCs w:val="20"/>
          <w:color w:val="auto"/>
        </w:rPr>
      </w:pPr>
      <w:r>
        <w:rPr>
          <w:rFonts w:ascii="Times New Roman" w:cs="Times New Roman" w:eastAsia="Times New Roman" w:hAnsi="Times New Roman"/>
          <w:sz w:val="16"/>
          <w:szCs w:val="16"/>
          <w:color w:val="auto"/>
        </w:rPr>
        <w:t>The Senior Credit Facility is available in United States Dollars and in alternative currencies including Australian Dollars, Canadian Dollars, Euro and Sterling (each, an “Alternative Currency”). At the Company’s election, United States Dollars denominated revolving loans under the Senior Credit Facility bear interest at annual rates equal to (a) a forward-looking term rate based on the secured overnight financing rate for the applicable 1, 3, or 6-month interest period (“Term SOFR”), as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81280</wp:posOffset>
            </wp:positionV>
            <wp:extent cx="7171690"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selected by the Company, plus an applicable margin ranging from 0.750% per annum to 1.250% per annum (1.00% as of October 3, 2026), or (b) the highest of (i) the prime rate in effect on such date, (ii) the Federal funds effective rate in effect on such day plus 0.50%, and (iii) Term SOFR for a one month tenor in effect on such day plus 1.00% (“Base Rate”) plus an applicable margin ranging from 0.000% per annum to 0.250% per annum (0.0% as of October 3, 2026). Borrowings in Australian Dollars, Canadian Dollars and Euro bear interest at the Eurocurrency Rate (as defined in the Senior Credit Facility), plus an applicable margin ranging from 0.750% per annum to 1.250% per annum (1.00% as of October 3, 2026). Borrowings in Sterling bear interest based on Daily Simple RFR (as defined in the Senior Credit Facility), plus an applicable margin ranging from 0.750% per annum to 1.250% per annum (1.00% as of October 3, 2026). The Company will also pay a commitment fee to the lenders at a rate ranging from 0.055% per annum to 0.150% per annum (0.08% as of October 3, 2026). The applicable margins and the commitment fee are determined based on whichever of the Company’s Consolidated Net Leverage Ratio (as defined in the Senior Credit Facility) or its senior unsecured debt rating (or if not available, corporate family rating) results in the lower applicable margins and commitment fee (with applicable margins and the commitment fee increasing as that ratio increases or those ratings decline, as applicable).</w:t>
      </w:r>
    </w:p>
    <w:p>
      <w:pPr>
        <w:spacing w:after="0" w:line="200" w:lineRule="exact"/>
        <w:rPr>
          <w:sz w:val="20"/>
          <w:szCs w:val="20"/>
          <w:color w:val="auto"/>
        </w:rPr>
      </w:pP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Borrowings under the Senior Credit Facility are unsecured.</w:t>
      </w:r>
    </w:p>
    <w:p>
      <w:pPr>
        <w:spacing w:after="0" w:line="253" w:lineRule="exact"/>
        <w:rPr>
          <w:sz w:val="20"/>
          <w:szCs w:val="20"/>
          <w:color w:val="auto"/>
        </w:rPr>
      </w:pPr>
    </w:p>
    <w:p>
      <w:pPr>
        <w:jc w:val="both"/>
        <w:ind w:firstLine="582"/>
        <w:spacing w:after="0" w:line="317" w:lineRule="auto"/>
        <w:rPr>
          <w:sz w:val="20"/>
          <w:szCs w:val="20"/>
          <w:color w:val="auto"/>
        </w:rPr>
      </w:pPr>
      <w:r>
        <w:rPr>
          <w:rFonts w:ascii="Times New Roman" w:cs="Times New Roman" w:eastAsia="Times New Roman" w:hAnsi="Times New Roman"/>
          <w:sz w:val="16"/>
          <w:szCs w:val="16"/>
          <w:color w:val="auto"/>
        </w:rPr>
        <w:t>All obligations of the several domestic borrowers are guaranteed by the other domestic borrowers party to the Senior Credit Facility, and all obligations of the several foreign borrowers are guaranteed by the other foreign borrowers and all of the domestic borrowers party to the Senior Credit Facility, in each case subject to certain limitations set forth in the Senior Credit Facility and the applicable guaranties.</w:t>
      </w:r>
    </w:p>
    <w:p>
      <w:pPr>
        <w:spacing w:after="0" w:line="168" w:lineRule="exact"/>
        <w:rPr>
          <w:sz w:val="20"/>
          <w:szCs w:val="20"/>
          <w:color w:val="auto"/>
        </w:rPr>
      </w:pPr>
    </w:p>
    <w:p>
      <w:pPr>
        <w:jc w:val="both"/>
        <w:ind w:right="20" w:firstLine="582"/>
        <w:spacing w:after="0" w:line="306" w:lineRule="auto"/>
        <w:rPr>
          <w:sz w:val="20"/>
          <w:szCs w:val="20"/>
          <w:color w:val="auto"/>
        </w:rPr>
      </w:pPr>
      <w:r>
        <w:rPr>
          <w:rFonts w:ascii="Times New Roman" w:cs="Times New Roman" w:eastAsia="Times New Roman" w:hAnsi="Times New Roman"/>
          <w:sz w:val="16"/>
          <w:szCs w:val="16"/>
          <w:color w:val="auto"/>
        </w:rPr>
        <w:t>The Senior Credit Facility includes certain affirmative and negative covenants that impose restrictions on the Company’s financial and business operations, including limitations on liens, indebtedness, certain fundamental changes, and changes in the nature of the Company’s business. Many of these limitations are subject to numerous exceptions. The Company is also required to maintain a Consolidated Interest Coverage Ratio (as defined in the Senior Credit Facility) of at least 3.50 to 1.00 as of the last day of any fiscal quarter.</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Senior Credit Facility also contains customary representations and warranties and events of default, subject to customary grace periods.</w:t>
      </w:r>
    </w:p>
    <w:p>
      <w:pPr>
        <w:spacing w:after="0" w:line="265" w:lineRule="exact"/>
        <w:rPr>
          <w:sz w:val="20"/>
          <w:szCs w:val="20"/>
          <w:color w:val="auto"/>
        </w:rPr>
      </w:pPr>
    </w:p>
    <w:p>
      <w:pPr>
        <w:jc w:val="both"/>
        <w:ind w:firstLine="582"/>
        <w:spacing w:after="0" w:line="301" w:lineRule="auto"/>
        <w:rPr>
          <w:sz w:val="20"/>
          <w:szCs w:val="20"/>
          <w:color w:val="auto"/>
        </w:rPr>
      </w:pPr>
      <w:r>
        <w:rPr>
          <w:rFonts w:ascii="Times New Roman" w:cs="Times New Roman" w:eastAsia="Times New Roman" w:hAnsi="Times New Roman"/>
          <w:sz w:val="16"/>
          <w:szCs w:val="16"/>
          <w:color w:val="auto"/>
        </w:rPr>
        <w:t>Upon the occurrence and continuation of certain events of default, the Administrative Agent may, at the request of or with the consent of the Required Lenders, among other remedies, terminate the commitments and the obligations of the letter of credit issuers to make letter of credit extensions, declare outstanding loans and other obligations under the Senior Credit Facility immediately due and payable, and require the Company to cash collateralize outstanding letter of credit obligations. Certain bankruptcy or insolvency events result in automatic termination of commitments and acceleration of outstanding obligations.</w:t>
      </w:r>
    </w:p>
    <w:p>
      <w:pPr>
        <w:spacing w:after="0" w:line="193" w:lineRule="exact"/>
        <w:rPr>
          <w:sz w:val="20"/>
          <w:szCs w:val="20"/>
          <w:color w:val="auto"/>
        </w:rPr>
      </w:pPr>
    </w:p>
    <w:p>
      <w:pPr>
        <w:jc w:val="both"/>
        <w:ind w:right="20" w:firstLine="582"/>
        <w:spacing w:after="0" w:line="318" w:lineRule="auto"/>
        <w:rPr>
          <w:sz w:val="20"/>
          <w:szCs w:val="20"/>
          <w:color w:val="auto"/>
        </w:rPr>
      </w:pPr>
      <w:r>
        <w:rPr>
          <w:rFonts w:ascii="Times New Roman" w:cs="Times New Roman" w:eastAsia="Times New Roman" w:hAnsi="Times New Roman"/>
          <w:sz w:val="16"/>
          <w:szCs w:val="16"/>
          <w:color w:val="auto"/>
        </w:rPr>
        <w:t>In 2026, the Company paid financing costs of $2.2 million in connection with its entry into its Senior Credit Facility. The unamortized costs from the previous Senior Credit Facility were written off in the quarter ended July 4, 2026.</w:t>
      </w:r>
    </w:p>
    <w:p>
      <w:pPr>
        <w:spacing w:after="0" w:line="179" w:lineRule="exact"/>
        <w:rPr>
          <w:sz w:val="20"/>
          <w:szCs w:val="20"/>
          <w:color w:val="auto"/>
        </w:rPr>
      </w:pPr>
    </w:p>
    <w:p>
      <w:pPr>
        <w:jc w:val="both"/>
        <w:ind w:right="20" w:firstLine="582"/>
        <w:spacing w:after="0" w:line="316" w:lineRule="auto"/>
        <w:rPr>
          <w:sz w:val="20"/>
          <w:szCs w:val="20"/>
          <w:color w:val="auto"/>
        </w:rPr>
      </w:pPr>
      <w:r>
        <w:rPr>
          <w:rFonts w:ascii="Times New Roman" w:cs="Times New Roman" w:eastAsia="Times New Roman" w:hAnsi="Times New Roman"/>
          <w:sz w:val="16"/>
          <w:szCs w:val="16"/>
          <w:color w:val="auto"/>
        </w:rPr>
        <w:t>As of October 3, 2026, amounts used under the Senior Credit Facility included $0.0 million of borrowings and $0.9 million of standby letters of credit related to various insurance contracts and foreign vendor commitments. Any outstanding borrowings under the Company’s United States and European commercial paper programs</w:t>
      </w:r>
    </w:p>
    <w:p>
      <w:pPr>
        <w:spacing w:after="0" w:line="1"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6"/>
          <w:szCs w:val="16"/>
          <w:color w:val="auto"/>
        </w:rPr>
        <w:t>reduce the availability of the Senior Credit Facility. Including commercial paper borrowings, the Company has used $35.9 million under the Senior Credit Facility, resulting in a total of $1,464.1 million available as of October 3, 2026.</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Commercial Paper</w:t>
      </w:r>
    </w:p>
    <w:p>
      <w:pPr>
        <w:spacing w:after="0" w:line="255" w:lineRule="exact"/>
        <w:rPr>
          <w:sz w:val="20"/>
          <w:szCs w:val="20"/>
          <w:color w:val="auto"/>
        </w:rPr>
      </w:pPr>
    </w:p>
    <w:p>
      <w:pPr>
        <w:jc w:val="both"/>
        <w:ind w:right="20" w:firstLine="582"/>
        <w:spacing w:after="0" w:line="309" w:lineRule="auto"/>
        <w:rPr>
          <w:sz w:val="20"/>
          <w:szCs w:val="20"/>
          <w:color w:val="auto"/>
        </w:rPr>
      </w:pPr>
      <w:r>
        <w:rPr>
          <w:rFonts w:ascii="Times New Roman" w:cs="Times New Roman" w:eastAsia="Times New Roman" w:hAnsi="Times New Roman"/>
          <w:sz w:val="16"/>
          <w:szCs w:val="16"/>
          <w:color w:val="auto"/>
        </w:rPr>
        <w:t>On February 28, 2014, and July 31, 2015, the Company established programs for the issuance of unsecured commercial paper in the United States and European capital markets, respectively. Commercial paper issued under the United States and European programs will have maturities ranging up to 397 and 183 days, respectively. None of the commercial paper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73660</wp:posOffset>
            </wp:positionV>
            <wp:extent cx="7171690"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6"/>
          <w:szCs w:val="16"/>
          <w:color w:val="auto"/>
        </w:rPr>
        <w:t>notes may be voluntarily prepaid or redeemed by the Company and rank pari passu with the Company’s other unsecured and unsubordinated indebtedness. To the extent that the Company issues European commercial paper notes through a subsidiary of the Company, the notes will be fully and unconditionally guaranteed by the Company.</w:t>
      </w:r>
    </w:p>
    <w:p>
      <w:pPr>
        <w:spacing w:after="0" w:line="179" w:lineRule="exact"/>
        <w:rPr>
          <w:sz w:val="20"/>
          <w:szCs w:val="20"/>
          <w:color w:val="auto"/>
        </w:rPr>
      </w:pPr>
    </w:p>
    <w:p>
      <w:pPr>
        <w:jc w:val="both"/>
        <w:ind w:firstLine="582"/>
        <w:spacing w:after="0" w:line="318" w:lineRule="auto"/>
        <w:rPr>
          <w:sz w:val="20"/>
          <w:szCs w:val="20"/>
          <w:color w:val="auto"/>
        </w:rPr>
      </w:pPr>
      <w:r>
        <w:rPr>
          <w:rFonts w:ascii="Times New Roman" w:cs="Times New Roman" w:eastAsia="Times New Roman" w:hAnsi="Times New Roman"/>
          <w:sz w:val="16"/>
          <w:szCs w:val="16"/>
          <w:color w:val="auto"/>
        </w:rPr>
        <w:t>The Company uses its Senior Credit Facility as a liquidity backstop for its commercial paper programs. Accordingly, the total amount outstanding under the Company’s commercial paper programs may not exceed $1,500.0 million (less any amounts drawn on the Senior Credit Facility) at any time.</w:t>
      </w:r>
    </w:p>
    <w:p>
      <w:pPr>
        <w:spacing w:after="0" w:line="179" w:lineRule="exact"/>
        <w:rPr>
          <w:sz w:val="20"/>
          <w:szCs w:val="20"/>
          <w:color w:val="auto"/>
        </w:rPr>
      </w:pPr>
    </w:p>
    <w:p>
      <w:pPr>
        <w:jc w:val="both"/>
        <w:ind w:right="20" w:firstLine="582"/>
        <w:spacing w:after="0" w:line="309" w:lineRule="auto"/>
        <w:rPr>
          <w:sz w:val="20"/>
          <w:szCs w:val="20"/>
          <w:color w:val="auto"/>
        </w:rPr>
      </w:pPr>
      <w:r>
        <w:rPr>
          <w:rFonts w:ascii="Times New Roman" w:cs="Times New Roman" w:eastAsia="Times New Roman" w:hAnsi="Times New Roman"/>
          <w:sz w:val="16"/>
          <w:szCs w:val="16"/>
          <w:color w:val="auto"/>
        </w:rPr>
        <w:t>The proceeds from the issuance of commercial paper notes will be available for general corporate purposes. As of October 3, 2026, there was $35.0 million outstanding under the United States commercial paper program, and no amounts outstanding under the European program. The weighted-average interest rate and maturity period for the U.S. program were 3.98% and 3 days,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Senior Notes</w:t>
      </w:r>
    </w:p>
    <w:p>
      <w:pPr>
        <w:spacing w:after="0" w:line="267" w:lineRule="exact"/>
        <w:rPr>
          <w:sz w:val="20"/>
          <w:szCs w:val="20"/>
          <w:color w:val="auto"/>
        </w:rPr>
      </w:pPr>
    </w:p>
    <w:p>
      <w:pPr>
        <w:jc w:val="both"/>
        <w:ind w:firstLine="582"/>
        <w:spacing w:after="0" w:line="301" w:lineRule="auto"/>
        <w:rPr>
          <w:sz w:val="20"/>
          <w:szCs w:val="20"/>
          <w:color w:val="auto"/>
        </w:rPr>
      </w:pPr>
      <w:r>
        <w:rPr>
          <w:rFonts w:ascii="Times New Roman" w:cs="Times New Roman" w:eastAsia="Times New Roman" w:hAnsi="Times New Roman"/>
          <w:sz w:val="16"/>
          <w:szCs w:val="16"/>
          <w:color w:val="auto"/>
        </w:rPr>
        <w:t>On September 18, 2023, the Company completed the issuance and sale of $600.0 million aggregate principal amount of 5.850% Senior Notes (“5.850% Senior Notes”) due September 18, 2028. The 5.850% Senior Notes are senior unsecured obligations of the Company and rank pari passu with the Company’s other existing and future senior unsecured indebtedness. Interest on the 5.850% Senior Notes is payable semi-annually in cash on March 18 and September 18 of each year, commencing on March 18, 2024. The Company paid financing costs of $5.6 million in connection with the 5.850% Senior Notes. These costs were deferred and are being amortized over the term of the 5.850% Senior Notes.</w:t>
      </w:r>
    </w:p>
    <w:p>
      <w:pPr>
        <w:spacing w:after="0" w:line="192" w:lineRule="exact"/>
        <w:rPr>
          <w:sz w:val="20"/>
          <w:szCs w:val="20"/>
          <w:color w:val="auto"/>
        </w:rPr>
      </w:pPr>
    </w:p>
    <w:p>
      <w:pPr>
        <w:jc w:val="both"/>
        <w:ind w:right="20" w:firstLine="582"/>
        <w:spacing w:after="0" w:line="297" w:lineRule="auto"/>
        <w:rPr>
          <w:sz w:val="20"/>
          <w:szCs w:val="20"/>
          <w:color w:val="auto"/>
        </w:rPr>
      </w:pPr>
      <w:r>
        <w:rPr>
          <w:rFonts w:ascii="Times New Roman" w:cs="Times New Roman" w:eastAsia="Times New Roman" w:hAnsi="Times New Roman"/>
          <w:sz w:val="16"/>
          <w:szCs w:val="16"/>
          <w:color w:val="auto"/>
        </w:rPr>
        <w:t>On June 12, 2020, Mohawk Capital Finance S.A. (“Mohawk Finance”), an indirect wholly owned finance subsidiary of the Company, completed the issuance and sale of €500.0 million aggregate principal amount of 1.750% Senior Notes (“1.750% Senior Notes”) due June 12, 2027. The 1.750% Senior Notes are senior unsecured obligations of Mohawk Finance and rank pari passu with Mohawk Finance’s other existing and future senior unsecured indebtedness. The 1.750% Senior Notes are fully, unconditionally and irrevocably guaranteed by the Company on a senior unsecured basis. Interest on the 1.750% Senior Notes is payable annually in cash on June 12 of each year, commencing on June 12, 2021. The Company paid financing costs of $4.4 million in connection with the 1.750% Senior Notes. These costs were deferred and are being amortized over the term of the 1.750% Senior Notes.</w:t>
      </w:r>
    </w:p>
    <w:p>
      <w:pPr>
        <w:spacing w:after="0" w:line="198" w:lineRule="exact"/>
        <w:rPr>
          <w:sz w:val="20"/>
          <w:szCs w:val="20"/>
          <w:color w:val="auto"/>
        </w:rPr>
      </w:pPr>
    </w:p>
    <w:p>
      <w:pPr>
        <w:jc w:val="both"/>
        <w:ind w:right="20" w:firstLine="582"/>
        <w:spacing w:after="0" w:line="301" w:lineRule="auto"/>
        <w:rPr>
          <w:sz w:val="20"/>
          <w:szCs w:val="20"/>
          <w:color w:val="auto"/>
        </w:rPr>
      </w:pPr>
      <w:r>
        <w:rPr>
          <w:rFonts w:ascii="Times New Roman" w:cs="Times New Roman" w:eastAsia="Times New Roman" w:hAnsi="Times New Roman"/>
          <w:sz w:val="16"/>
          <w:szCs w:val="16"/>
          <w:color w:val="auto"/>
        </w:rPr>
        <w:t>On May 14, 2020, the Company completed the issuance and sale of $500.0 million aggregate principal amount of 3.625% Senior Notes (“3.625% Senior Notes”) due May 15, 2030. The 3.625% Senior Notes are senior unsecured obligations of the Company and rank pari passu with the Company’s existing and future unsecured indebtedness. Interest on the 3.625% Senior Notes is payable semi-annually in cash on May 15 and November 15 of each year, commencing on November 15, 2020. The Company paid financing costs of $5.5 million in connection with the 3.625% Senior Notes. These costs were deferred and are being amortized over the term of the 3.625% Senior Notes.</w:t>
      </w:r>
    </w:p>
    <w:p>
      <w:pPr>
        <w:spacing w:after="0" w:line="180" w:lineRule="exact"/>
        <w:rPr>
          <w:sz w:val="20"/>
          <w:szCs w:val="20"/>
          <w:color w:val="auto"/>
        </w:rPr>
      </w:pPr>
    </w:p>
    <w:p>
      <w:pPr>
        <w:jc w:val="both"/>
        <w:ind w:right="20" w:firstLine="582"/>
        <w:spacing w:after="0" w:line="309" w:lineRule="auto"/>
        <w:rPr>
          <w:sz w:val="20"/>
          <w:szCs w:val="20"/>
          <w:color w:val="auto"/>
        </w:rPr>
      </w:pPr>
      <w:r>
        <w:rPr>
          <w:rFonts w:ascii="Times New Roman" w:cs="Times New Roman" w:eastAsia="Times New Roman" w:hAnsi="Times New Roman"/>
          <w:sz w:val="16"/>
          <w:szCs w:val="16"/>
          <w:color w:val="auto"/>
        </w:rPr>
        <w:t>As defined in the related agreements, the Company’s senior notes contain covenants, representations and warranties and events of default, subject to exceptions, and restrictions on the Company’s financial and business operations, including limitations on liens, restrictions on entering into sale and leaseback transactions, fundamental changes, and a provision allowing the holder of the notes to require repayment upon a change of control triggering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73660</wp:posOffset>
            </wp:positionV>
            <wp:extent cx="7171690"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fair values and carrying values of the Company’s debt instruments are detailed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60" w:type="dxa"/>
            <w:vAlign w:val="bottom"/>
            <w:gridSpan w:val="2"/>
          </w:tcPr>
          <w:p>
            <w:pPr>
              <w:jc w:val="right"/>
              <w:ind w:right="1001"/>
              <w:spacing w:after="0"/>
              <w:rPr>
                <w:sz w:val="20"/>
                <w:szCs w:val="20"/>
                <w:color w:val="auto"/>
              </w:rPr>
            </w:pPr>
            <w:r>
              <w:rPr>
                <w:rFonts w:ascii="Times New Roman" w:cs="Times New Roman" w:eastAsia="Times New Roman" w:hAnsi="Times New Roman"/>
                <w:sz w:val="13"/>
                <w:szCs w:val="13"/>
                <w:b w:val="1"/>
                <w:bCs w:val="1"/>
                <w:color w:val="auto"/>
              </w:rPr>
              <w:t>October 3, 2026</w:t>
            </w:r>
          </w:p>
        </w:tc>
        <w:tc>
          <w:tcPr>
            <w:tcW w:w="2080" w:type="dxa"/>
            <w:vAlign w:val="bottom"/>
            <w:gridSpan w:val="2"/>
          </w:tcPr>
          <w:p>
            <w:pPr>
              <w:jc w:val="right"/>
              <w:ind w:right="621"/>
              <w:spacing w:after="0"/>
              <w:rPr>
                <w:sz w:val="20"/>
                <w:szCs w:val="20"/>
                <w:color w:val="auto"/>
              </w:rPr>
            </w:pPr>
            <w:r>
              <w:rPr>
                <w:rFonts w:ascii="Times New Roman" w:cs="Times New Roman" w:eastAsia="Times New Roman" w:hAnsi="Times New Roman"/>
                <w:sz w:val="13"/>
                <w:szCs w:val="13"/>
                <w:color w:val="auto"/>
              </w:rPr>
              <w:t>December 31, 2025</w:t>
            </w:r>
          </w:p>
        </w:tc>
        <w:tc>
          <w:tcPr>
            <w:tcW w:w="0" w:type="dxa"/>
            <w:vAlign w:val="bottom"/>
          </w:tcPr>
          <w:p>
            <w:pPr>
              <w:spacing w:after="0"/>
              <w:rPr>
                <w:sz w:val="1"/>
                <w:szCs w:val="1"/>
                <w:color w:val="auto"/>
              </w:rPr>
            </w:pPr>
          </w:p>
        </w:tc>
      </w:tr>
      <w:tr>
        <w:trPr>
          <w:trHeight w:val="23"/>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(In millions)</w:t>
            </w: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644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3"/>
                <w:szCs w:val="13"/>
                <w:color w:val="auto"/>
              </w:rPr>
              <w:t>Fair Value</w:t>
            </w:r>
          </w:p>
        </w:tc>
        <w:tc>
          <w:tcPr>
            <w:tcW w:w="13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color w:val="auto"/>
              </w:rPr>
              <w:t>Carrying Value</w:t>
            </w:r>
          </w:p>
        </w:tc>
        <w:tc>
          <w:tcPr>
            <w:tcW w:w="10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3"/>
                <w:szCs w:val="13"/>
                <w:color w:val="auto"/>
              </w:rPr>
              <w:t>Fair Value</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Carrying Value</w:t>
            </w:r>
          </w:p>
        </w:tc>
        <w:tc>
          <w:tcPr>
            <w:tcW w:w="0" w:type="dxa"/>
            <w:vAlign w:val="bottom"/>
          </w:tcPr>
          <w:p>
            <w:pPr>
              <w:spacing w:after="0"/>
              <w:rPr>
                <w:sz w:val="1"/>
                <w:szCs w:val="1"/>
                <w:color w:val="auto"/>
              </w:rPr>
            </w:pPr>
          </w:p>
        </w:tc>
      </w:tr>
      <w:tr>
        <w:trPr>
          <w:trHeight w:val="20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1.75% Senior Notes, payable June 12, 2027; interest payable annually</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556.7</w:t>
            </w:r>
          </w:p>
        </w:tc>
        <w:tc>
          <w:tcPr>
            <w:tcW w:w="134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562.7</w:t>
            </w:r>
          </w:p>
        </w:tc>
        <w:tc>
          <w:tcPr>
            <w:tcW w:w="10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581.0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587.4</w:t>
            </w:r>
          </w:p>
        </w:tc>
        <w:tc>
          <w:tcPr>
            <w:tcW w:w="0" w:type="dxa"/>
            <w:vAlign w:val="bottom"/>
          </w:tcPr>
          <w:p>
            <w:pPr>
              <w:spacing w:after="0"/>
              <w:rPr>
                <w:sz w:val="1"/>
                <w:szCs w:val="1"/>
                <w:color w:val="auto"/>
              </w:rPr>
            </w:pPr>
          </w:p>
        </w:tc>
      </w:tr>
      <w:tr>
        <w:trPr>
          <w:trHeight w:val="206"/>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3.625% Senior Notes, payable May 15, 2030; interest payable semi-annually</w:t>
            </w:r>
          </w:p>
        </w:tc>
        <w:tc>
          <w:tcPr>
            <w:tcW w:w="360" w:type="dxa"/>
            <w:vAlign w:val="bottom"/>
          </w:tcPr>
          <w:p>
            <w:pPr>
              <w:spacing w:after="0"/>
              <w:rPr>
                <w:sz w:val="17"/>
                <w:szCs w:val="17"/>
                <w:color w:val="auto"/>
              </w:rPr>
            </w:pPr>
          </w:p>
        </w:tc>
        <w:tc>
          <w:tcPr>
            <w:tcW w:w="102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467.1</w:t>
            </w:r>
          </w:p>
        </w:tc>
        <w:tc>
          <w:tcPr>
            <w:tcW w:w="134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500.0</w:t>
            </w: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485.0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0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5.85% Senior Notes, payable September 18, 2028; interest payable semi-annually</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605.8</w:t>
            </w:r>
          </w:p>
        </w:tc>
        <w:tc>
          <w:tcPr>
            <w:tcW w:w="134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600.0</w:t>
            </w:r>
          </w:p>
        </w:tc>
        <w:tc>
          <w:tcPr>
            <w:tcW w:w="10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624.0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0" w:type="dxa"/>
            <w:vAlign w:val="bottom"/>
          </w:tcPr>
          <w:p>
            <w:pPr>
              <w:spacing w:after="0"/>
              <w:rPr>
                <w:sz w:val="1"/>
                <w:szCs w:val="1"/>
                <w:color w:val="auto"/>
              </w:rPr>
            </w:pPr>
          </w:p>
        </w:tc>
      </w:tr>
      <w:tr>
        <w:trPr>
          <w:trHeight w:val="206"/>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 commercial paper</w:t>
            </w:r>
          </w:p>
        </w:tc>
        <w:tc>
          <w:tcPr>
            <w:tcW w:w="360" w:type="dxa"/>
            <w:vAlign w:val="bottom"/>
          </w:tcPr>
          <w:p>
            <w:pPr>
              <w:spacing w:after="0"/>
              <w:rPr>
                <w:sz w:val="17"/>
                <w:szCs w:val="17"/>
                <w:color w:val="auto"/>
              </w:rPr>
            </w:pPr>
          </w:p>
        </w:tc>
        <w:tc>
          <w:tcPr>
            <w:tcW w:w="102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35.0</w:t>
            </w:r>
          </w:p>
        </w:tc>
        <w:tc>
          <w:tcPr>
            <w:tcW w:w="134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35.0</w:t>
            </w: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155.0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0" w:type="dxa"/>
            <w:vAlign w:val="bottom"/>
          </w:tcPr>
          <w:p>
            <w:pPr>
              <w:spacing w:after="0"/>
              <w:rPr>
                <w:sz w:val="1"/>
                <w:szCs w:val="1"/>
                <w:color w:val="auto"/>
              </w:rPr>
            </w:pPr>
          </w:p>
        </w:tc>
      </w:tr>
      <w:tr>
        <w:trPr>
          <w:trHeight w:val="20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European commercial paper</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w:t>
            </w:r>
          </w:p>
        </w:tc>
        <w:tc>
          <w:tcPr>
            <w:tcW w:w="134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111.6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0" w:type="dxa"/>
            <w:vAlign w:val="bottom"/>
          </w:tcPr>
          <w:p>
            <w:pPr>
              <w:spacing w:after="0"/>
              <w:rPr>
                <w:sz w:val="1"/>
                <w:szCs w:val="1"/>
                <w:color w:val="auto"/>
              </w:rPr>
            </w:pPr>
          </w:p>
        </w:tc>
      </w:tr>
      <w:tr>
        <w:trPr>
          <w:trHeight w:val="206"/>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Credit Facility, payable May 12, 2031</w:t>
            </w:r>
          </w:p>
        </w:tc>
        <w:tc>
          <w:tcPr>
            <w:tcW w:w="360" w:type="dxa"/>
            <w:vAlign w:val="bottom"/>
          </w:tcPr>
          <w:p>
            <w:pPr>
              <w:spacing w:after="0"/>
              <w:rPr>
                <w:sz w:val="17"/>
                <w:szCs w:val="17"/>
                <w:color w:val="auto"/>
              </w:rPr>
            </w:pPr>
          </w:p>
        </w:tc>
        <w:tc>
          <w:tcPr>
            <w:tcW w:w="102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w:t>
            </w:r>
          </w:p>
        </w:tc>
        <w:tc>
          <w:tcPr>
            <w:tcW w:w="134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leases and other</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89.5</w:t>
            </w:r>
          </w:p>
        </w:tc>
        <w:tc>
          <w:tcPr>
            <w:tcW w:w="134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89.5</w:t>
            </w:r>
          </w:p>
        </w:tc>
        <w:tc>
          <w:tcPr>
            <w:tcW w:w="10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82.8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0" w:type="dxa"/>
            <w:vAlign w:val="bottom"/>
          </w:tcPr>
          <w:p>
            <w:pPr>
              <w:spacing w:after="0"/>
              <w:rPr>
                <w:sz w:val="1"/>
                <w:szCs w:val="1"/>
                <w:color w:val="auto"/>
              </w:rPr>
            </w:pPr>
          </w:p>
        </w:tc>
      </w:tr>
      <w:tr>
        <w:trPr>
          <w:trHeight w:val="206"/>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Unamortized debt issuance costs</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(4.5)</w:t>
            </w:r>
          </w:p>
        </w:tc>
        <w:tc>
          <w:tcPr>
            <w:tcW w:w="13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(4.5)</w:t>
            </w:r>
          </w:p>
        </w:tc>
        <w:tc>
          <w:tcPr>
            <w:tcW w:w="10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(6.3)</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19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1,749.6</w:t>
            </w:r>
          </w:p>
        </w:tc>
        <w:tc>
          <w:tcPr>
            <w:tcW w:w="134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1,782.7</w:t>
            </w:r>
          </w:p>
        </w:tc>
        <w:tc>
          <w:tcPr>
            <w:tcW w:w="10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2,033.1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2,030.5</w:t>
            </w:r>
          </w:p>
        </w:tc>
        <w:tc>
          <w:tcPr>
            <w:tcW w:w="0" w:type="dxa"/>
            <w:vAlign w:val="bottom"/>
          </w:tcPr>
          <w:p>
            <w:pPr>
              <w:spacing w:after="0"/>
              <w:rPr>
                <w:sz w:val="1"/>
                <w:szCs w:val="1"/>
                <w:color w:val="auto"/>
              </w:rPr>
            </w:pPr>
          </w:p>
        </w:tc>
      </w:tr>
      <w:tr>
        <w:trPr>
          <w:trHeight w:val="206"/>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 and commercial paper</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621.9</w:t>
            </w:r>
          </w:p>
        </w:tc>
        <w:tc>
          <w:tcPr>
            <w:tcW w:w="13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621.9</w:t>
            </w:r>
          </w:p>
        </w:tc>
        <w:tc>
          <w:tcPr>
            <w:tcW w:w="10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289.3</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0" w:type="dxa"/>
            <w:vAlign w:val="bottom"/>
          </w:tcPr>
          <w:p>
            <w:pPr>
              <w:spacing w:after="0"/>
              <w:rPr>
                <w:sz w:val="1"/>
                <w:szCs w:val="1"/>
                <w:color w:val="auto"/>
              </w:rPr>
            </w:pPr>
          </w:p>
        </w:tc>
      </w:tr>
      <w:tr>
        <w:trPr>
          <w:trHeight w:val="198"/>
        </w:trPr>
        <w:tc>
          <w:tcPr>
            <w:tcW w:w="6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1,127.7</w:t>
            </w:r>
          </w:p>
        </w:tc>
        <w:tc>
          <w:tcPr>
            <w:tcW w:w="134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1,160.8</w:t>
            </w:r>
          </w:p>
        </w:tc>
        <w:tc>
          <w:tcPr>
            <w:tcW w:w="106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1,743.8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1,741.2</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right="20" w:firstLine="582"/>
        <w:spacing w:after="0" w:line="334" w:lineRule="auto"/>
        <w:rPr>
          <w:sz w:val="20"/>
          <w:szCs w:val="20"/>
          <w:color w:val="auto"/>
        </w:rPr>
      </w:pPr>
      <w:r>
        <w:rPr>
          <w:rFonts w:ascii="Times New Roman" w:cs="Times New Roman" w:eastAsia="Times New Roman" w:hAnsi="Times New Roman"/>
          <w:sz w:val="16"/>
          <w:szCs w:val="16"/>
          <w:color w:val="auto"/>
        </w:rPr>
        <w:t>The fair values of the Company’s debt instruments were estimated using observable market inputs, including quoted prices in active markets, market indices and interest rate measurements. Within the hierarchy of fair value measurements, these are Level 2 fair values.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Supplemental Cash Flow Information</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Nine Months Ended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(In millions)</w:t>
            </w: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796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3"/>
                <w:szCs w:val="13"/>
                <w:b w:val="1"/>
                <w:bCs w:val="1"/>
                <w:color w:val="auto"/>
              </w:rPr>
              <w:t>October 3, 2026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September 27, 2025</w:t>
            </w:r>
          </w:p>
        </w:tc>
        <w:tc>
          <w:tcPr>
            <w:tcW w:w="0" w:type="dxa"/>
            <w:vAlign w:val="bottom"/>
          </w:tcPr>
          <w:p>
            <w:pPr>
              <w:spacing w:after="0"/>
              <w:rPr>
                <w:sz w:val="1"/>
                <w:szCs w:val="1"/>
                <w:color w:val="auto"/>
              </w:rPr>
            </w:pPr>
          </w:p>
        </w:tc>
      </w:tr>
      <w:tr>
        <w:trPr>
          <w:trHeight w:val="20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paid during the periods for:</w:t>
            </w:r>
          </w:p>
        </w:tc>
        <w:tc>
          <w:tcPr>
            <w:tcW w:w="4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0" w:type="dxa"/>
            <w:vAlign w:val="bottom"/>
          </w:tcPr>
          <w:p>
            <w:pPr>
              <w:jc w:val="right"/>
              <w:ind w:right="604"/>
              <w:spacing w:after="0"/>
              <w:rPr>
                <w:sz w:val="20"/>
                <w:szCs w:val="20"/>
                <w:color w:val="auto"/>
              </w:rPr>
            </w:pPr>
            <w:r>
              <w:rPr>
                <w:rFonts w:ascii="Times New Roman" w:cs="Times New Roman" w:eastAsia="Times New Roman" w:hAnsi="Times New Roman"/>
                <w:sz w:val="16"/>
                <w:szCs w:val="16"/>
                <w:b w:val="1"/>
                <w:bCs w:val="1"/>
                <w:color w:val="auto"/>
              </w:rPr>
              <w:t>26.0</w:t>
            </w: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198"/>
        </w:trPr>
        <w:tc>
          <w:tcPr>
            <w:tcW w:w="7960" w:type="dxa"/>
            <w:vAlign w:val="bottom"/>
            <w:tcBorders>
              <w:bottom w:val="single" w:sz="8" w:color="auto"/>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6"/>
                <w:szCs w:val="16"/>
                <w:color w:val="auto"/>
              </w:rPr>
              <w:t xml:space="preserve">Income taxes </w:t>
            </w:r>
            <w:r>
              <w:rPr>
                <w:rFonts w:ascii="Times New Roman" w:cs="Times New Roman" w:eastAsia="Times New Roman" w:hAnsi="Times New Roman"/>
                <w:sz w:val="21"/>
                <w:szCs w:val="21"/>
                <w:color w:val="auto"/>
                <w:vertAlign w:val="superscript"/>
              </w:rPr>
              <w:t>(1)</w:t>
            </w:r>
          </w:p>
        </w:tc>
        <w:tc>
          <w:tcPr>
            <w:tcW w:w="4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0" w:type="dxa"/>
            <w:vAlign w:val="bottom"/>
            <w:tcBorders>
              <w:bottom w:val="single" w:sz="8" w:color="auto"/>
            </w:tcBorders>
            <w:shd w:val="clear" w:color="auto" w:fill="CCEEFF"/>
          </w:tcPr>
          <w:p>
            <w:pPr>
              <w:jc w:val="right"/>
              <w:ind w:right="604"/>
              <w:spacing w:after="0"/>
              <w:rPr>
                <w:sz w:val="20"/>
                <w:szCs w:val="20"/>
                <w:color w:val="auto"/>
              </w:rPr>
            </w:pPr>
            <w:r>
              <w:rPr>
                <w:rFonts w:ascii="Times New Roman" w:cs="Times New Roman" w:eastAsia="Times New Roman" w:hAnsi="Times New Roman"/>
                <w:sz w:val="16"/>
                <w:szCs w:val="16"/>
                <w:b w:val="1"/>
                <w:bCs w:val="1"/>
                <w:color w:val="auto"/>
              </w:rPr>
              <w:t>181.2</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141.8</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schedule of non-cash investing and financing activities:</w:t>
            </w:r>
          </w:p>
        </w:tc>
        <w:tc>
          <w:tcPr>
            <w:tcW w:w="4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Unpaid property, plant and equipment in accounts payable and accrued expenses</w:t>
            </w:r>
          </w:p>
        </w:tc>
        <w:tc>
          <w:tcPr>
            <w:tcW w:w="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6"/>
                <w:szCs w:val="16"/>
                <w:b w:val="1"/>
                <w:bCs w:val="1"/>
                <w:color w:val="auto"/>
              </w:rPr>
              <w:t>57.4</w:t>
            </w: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66.8</w:t>
            </w:r>
          </w:p>
        </w:tc>
        <w:tc>
          <w:tcPr>
            <w:tcW w:w="0" w:type="dxa"/>
            <w:vAlign w:val="bottom"/>
          </w:tcPr>
          <w:p>
            <w:pPr>
              <w:spacing w:after="0"/>
              <w:rPr>
                <w:sz w:val="1"/>
                <w:szCs w:val="1"/>
                <w:color w:val="auto"/>
              </w:rPr>
            </w:pPr>
          </w:p>
        </w:tc>
      </w:tr>
      <w:tr>
        <w:trPr>
          <w:trHeight w:val="21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 xml:space="preserve"> Net of refunds received for the nine months ended October 3, 2026</w:t>
            </w:r>
          </w:p>
        </w:tc>
        <w:tc>
          <w:tcPr>
            <w:tcW w:w="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 assets obtained in exchange for lease obligations:</w:t>
            </w:r>
          </w:p>
        </w:tc>
        <w:tc>
          <w:tcPr>
            <w:tcW w:w="4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6"/>
                <w:szCs w:val="16"/>
                <w:b w:val="1"/>
                <w:bCs w:val="1"/>
                <w:color w:val="auto"/>
              </w:rPr>
              <w:t>98.8</w:t>
            </w: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109.1</w:t>
            </w:r>
          </w:p>
        </w:tc>
        <w:tc>
          <w:tcPr>
            <w:tcW w:w="0" w:type="dxa"/>
            <w:vAlign w:val="bottom"/>
          </w:tcPr>
          <w:p>
            <w:pPr>
              <w:spacing w:after="0"/>
              <w:rPr>
                <w:sz w:val="1"/>
                <w:szCs w:val="1"/>
                <w:color w:val="auto"/>
              </w:rPr>
            </w:pPr>
          </w:p>
        </w:tc>
      </w:tr>
      <w:tr>
        <w:trPr>
          <w:trHeight w:val="198"/>
        </w:trPr>
        <w:tc>
          <w:tcPr>
            <w:tcW w:w="7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leases</w:t>
            </w:r>
          </w:p>
        </w:tc>
        <w:tc>
          <w:tcPr>
            <w:tcW w:w="4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0" w:type="dxa"/>
            <w:vAlign w:val="bottom"/>
            <w:tcBorders>
              <w:bottom w:val="single" w:sz="8" w:color="auto"/>
            </w:tcBorders>
            <w:shd w:val="clear" w:color="auto" w:fill="CCEEFF"/>
          </w:tcPr>
          <w:p>
            <w:pPr>
              <w:jc w:val="right"/>
              <w:ind w:right="604"/>
              <w:spacing w:after="0"/>
              <w:rPr>
                <w:sz w:val="20"/>
                <w:szCs w:val="20"/>
                <w:color w:val="auto"/>
              </w:rPr>
            </w:pPr>
            <w:r>
              <w:rPr>
                <w:rFonts w:ascii="Times New Roman" w:cs="Times New Roman" w:eastAsia="Times New Roman" w:hAnsi="Times New Roman"/>
                <w:sz w:val="16"/>
                <w:szCs w:val="16"/>
                <w:b w:val="1"/>
                <w:bCs w:val="1"/>
                <w:color w:val="auto"/>
              </w:rPr>
              <w:t>25.3</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18. Subsequent Events</w:t>
      </w:r>
    </w:p>
    <w:p>
      <w:pPr>
        <w:spacing w:after="0" w:line="255" w:lineRule="exact"/>
        <w:rPr>
          <w:sz w:val="20"/>
          <w:szCs w:val="20"/>
          <w:color w:val="auto"/>
        </w:rPr>
      </w:pPr>
    </w:p>
    <w:p>
      <w:pPr>
        <w:jc w:val="both"/>
        <w:ind w:right="20" w:firstLine="582"/>
        <w:spacing w:after="0" w:line="334" w:lineRule="auto"/>
        <w:rPr>
          <w:sz w:val="20"/>
          <w:szCs w:val="20"/>
          <w:color w:val="auto"/>
        </w:rPr>
      </w:pPr>
      <w:r>
        <w:rPr>
          <w:rFonts w:ascii="Times New Roman" w:cs="Times New Roman" w:eastAsia="Times New Roman" w:hAnsi="Times New Roman"/>
          <w:sz w:val="16"/>
          <w:szCs w:val="16"/>
          <w:color w:val="auto"/>
        </w:rPr>
        <w:t>On October 26, 2026, the Company's Board of Directors approved the 2026 Share Repurchase Program. For further information, see the discussion set forth in Part II, Item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81280</wp:posOffset>
            </wp:positionV>
            <wp:extent cx="7171690"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255" w:lineRule="exact"/>
        <w:rPr>
          <w:sz w:val="20"/>
          <w:szCs w:val="20"/>
          <w:color w:val="auto"/>
        </w:rPr>
      </w:pPr>
    </w:p>
    <w:p>
      <w:pPr>
        <w:jc w:val="both"/>
        <w:ind w:right="20" w:firstLine="582"/>
        <w:spacing w:after="0" w:line="309" w:lineRule="auto"/>
        <w:rPr>
          <w:sz w:val="20"/>
          <w:szCs w:val="20"/>
          <w:color w:val="auto"/>
        </w:rPr>
      </w:pPr>
      <w:r>
        <w:rPr>
          <w:rFonts w:ascii="Times New Roman" w:cs="Times New Roman" w:eastAsia="Times New Roman" w:hAnsi="Times New Roman"/>
          <w:sz w:val="16"/>
          <w:szCs w:val="16"/>
          <w:color w:val="auto"/>
        </w:rPr>
        <w:t>The following discussion and analysis of the Company’s financial condition and results of operations from management's perspective should be read in conjunction with the Company’s unaudited condensed consolidated financial statements and related notes included in this report, as well as the Company's audited consolidated financial statements for the year ended December 31, 2025, which are included in the Company's Annual Report on Form 10-K for the year ended December 31, 2025.</w:t>
      </w:r>
    </w:p>
    <w:p>
      <w:pPr>
        <w:spacing w:after="0" w:line="187" w:lineRule="exact"/>
        <w:rPr>
          <w:sz w:val="20"/>
          <w:szCs w:val="20"/>
          <w:color w:val="auto"/>
        </w:rPr>
      </w:pPr>
    </w:p>
    <w:p>
      <w:pPr>
        <w:jc w:val="both"/>
        <w:ind w:right="20" w:firstLine="582"/>
        <w:spacing w:after="0" w:line="318" w:lineRule="auto"/>
        <w:rPr>
          <w:sz w:val="20"/>
          <w:szCs w:val="20"/>
          <w:color w:val="auto"/>
        </w:rPr>
      </w:pPr>
      <w:r>
        <w:rPr>
          <w:rFonts w:ascii="Times New Roman" w:cs="Times New Roman" w:eastAsia="Times New Roman" w:hAnsi="Times New Roman"/>
          <w:sz w:val="16"/>
          <w:szCs w:val="16"/>
          <w:color w:val="auto"/>
        </w:rPr>
        <w:t>References to “Mohawk,” “the Company,” “we,” “our” and “us” refer to Mohawk Industries, Inc. and its consolidated subsidiaries as a whole, unless the context otherwise requires.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Business Summary</w:t>
      </w:r>
    </w:p>
    <w:p>
      <w:pPr>
        <w:spacing w:after="0" w:line="255" w:lineRule="exact"/>
        <w:rPr>
          <w:sz w:val="20"/>
          <w:szCs w:val="20"/>
          <w:color w:val="auto"/>
        </w:rPr>
      </w:pPr>
    </w:p>
    <w:p>
      <w:pPr>
        <w:jc w:val="both"/>
        <w:ind w:firstLine="582"/>
        <w:spacing w:after="0" w:line="301" w:lineRule="auto"/>
        <w:rPr>
          <w:sz w:val="20"/>
          <w:szCs w:val="20"/>
          <w:color w:val="auto"/>
        </w:rPr>
      </w:pPr>
      <w:r>
        <w:rPr>
          <w:rFonts w:ascii="Times New Roman" w:cs="Times New Roman" w:eastAsia="Times New Roman" w:hAnsi="Times New Roman"/>
          <w:sz w:val="16"/>
          <w:szCs w:val="16"/>
          <w:color w:val="auto"/>
        </w:rPr>
        <w:t>Mohawk is a significant supplier of flooring and design surfaces with manufacturing operations in 19 countries and sales in approximately 180 countries. Based on its annual sales, the Company believes it is the world’s largest flooring manufacturer. A majority of the Company’s long-lived assets are located in the United States and Europe, which are also the Company’s primary markets. Additionally, the Company maintains operations in Australia, Brazil, Malaysia, Mexico, New Zealand, Russia and other parts of the world. The Company is a leading provider of flooring and design surfaces for residential and commercial markets and has earned significant recognition for its innovation in design and performance as well as sustainable business practices.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Macroeconomic Conditions</w:t>
      </w:r>
    </w:p>
    <w:p>
      <w:pPr>
        <w:spacing w:after="0" w:line="242" w:lineRule="exact"/>
        <w:rPr>
          <w:sz w:val="20"/>
          <w:szCs w:val="20"/>
          <w:color w:val="auto"/>
        </w:rPr>
      </w:pPr>
    </w:p>
    <w:p>
      <w:pPr>
        <w:jc w:val="both"/>
        <w:ind w:firstLine="582"/>
        <w:spacing w:after="0" w:line="301" w:lineRule="auto"/>
        <w:rPr>
          <w:sz w:val="20"/>
          <w:szCs w:val="20"/>
          <w:color w:val="auto"/>
        </w:rPr>
      </w:pPr>
      <w:r>
        <w:rPr>
          <w:rFonts w:ascii="Times New Roman" w:cs="Times New Roman" w:eastAsia="Times New Roman" w:hAnsi="Times New Roman"/>
          <w:sz w:val="16"/>
          <w:szCs w:val="16"/>
          <w:color w:val="auto"/>
        </w:rPr>
        <w:t>The Company continued to experience soft demand during the third quarter of 2026, particularly in residential end markets. Elevated interest rates, housing affordability constraints, inflationary pressures and broader economic uncertainty contributed to continued softness in the U.S. and European housing markets, sluggish new home construction and cautious consumer spending. Although housing shortages, aging housing stock and record home equity levels may support increased housing and remodeling activity over time, the timing and magnitude of a market recovery remain uncertain. The continuing effects of soft demand, inflation and elevated interest rates on the Company’s business, financial condition, results of operations, and prospects cannot be determined at this time.</w:t>
      </w:r>
    </w:p>
    <w:p>
      <w:pPr>
        <w:spacing w:after="0" w:line="192" w:lineRule="exact"/>
        <w:rPr>
          <w:sz w:val="20"/>
          <w:szCs w:val="20"/>
          <w:color w:val="auto"/>
        </w:rPr>
      </w:pPr>
    </w:p>
    <w:p>
      <w:pPr>
        <w:jc w:val="both"/>
        <w:ind w:right="20" w:firstLine="582"/>
        <w:spacing w:after="0" w:line="301" w:lineRule="auto"/>
        <w:rPr>
          <w:sz w:val="20"/>
          <w:szCs w:val="20"/>
          <w:color w:val="auto"/>
        </w:rPr>
      </w:pPr>
      <w:r>
        <w:rPr>
          <w:rFonts w:ascii="Times New Roman" w:cs="Times New Roman" w:eastAsia="Times New Roman" w:hAnsi="Times New Roman"/>
          <w:sz w:val="16"/>
          <w:szCs w:val="16"/>
          <w:color w:val="auto"/>
        </w:rPr>
        <w:t>The Company continues to implement productivity initiatives, restructuring actions and other operational improvements designed to improve its cost structure, enhance operational performance and strengthen its long-term competitiveness. Cumulatively, restructuring actions initiated since 2022 are expected to deliver annualized benefits of approximately $410 million. Together with pricing and product mix initiatives, these actions are intended to mitigate inflationary pressures, improve the Company’s cost position, and support profitability in a soft demand environment. The Company remains focused on effectively managing near-term market conditions, pursuing profitable growth opportunities, generating cash and deploying capital with discipline, and positioning its businesses to benefit as housing activity recovers.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Tariffs Update</w:t>
      </w:r>
    </w:p>
    <w:p>
      <w:pPr>
        <w:spacing w:after="0" w:line="242" w:lineRule="exact"/>
        <w:rPr>
          <w:sz w:val="20"/>
          <w:szCs w:val="20"/>
          <w:color w:val="auto"/>
        </w:rPr>
      </w:pPr>
    </w:p>
    <w:p>
      <w:pPr>
        <w:jc w:val="both"/>
        <w:ind w:firstLine="582"/>
        <w:spacing w:after="0" w:line="306" w:lineRule="auto"/>
        <w:rPr>
          <w:sz w:val="20"/>
          <w:szCs w:val="20"/>
          <w:color w:val="auto"/>
        </w:rPr>
      </w:pPr>
      <w:r>
        <w:rPr>
          <w:rFonts w:ascii="Times New Roman" w:cs="Times New Roman" w:eastAsia="Times New Roman" w:hAnsi="Times New Roman"/>
          <w:sz w:val="16"/>
          <w:szCs w:val="16"/>
          <w:color w:val="auto"/>
        </w:rPr>
        <w:t>On February 20, 2026, the U.S. Supreme Court ruled that certain tariffs imposed under the International Emergency Economic Powers Act (“IEEPA”) by the executive branch are not lawful. On March 4, 2026, the Court of International Trade (CIT) ordered U.S. Customs and Border Protection (CBP) to begin the refund process for all importers who were subject to IEEPA tariffs. On April 21, 2026, the Company began to submit requests for IEEPA tariff refund claims in the amount of $70.7 million, representing the IEEPA tariffs it identified as having been paid during the period such tariffs were active and eligible for refund.</w:t>
      </w:r>
    </w:p>
    <w:p>
      <w:pPr>
        <w:spacing w:after="0" w:line="177" w:lineRule="exact"/>
        <w:rPr>
          <w:sz w:val="20"/>
          <w:szCs w:val="20"/>
          <w:color w:val="auto"/>
        </w:rPr>
      </w:pPr>
    </w:p>
    <w:p>
      <w:pPr>
        <w:jc w:val="both"/>
        <w:ind w:firstLine="582"/>
        <w:spacing w:after="0" w:line="309" w:lineRule="auto"/>
        <w:rPr>
          <w:sz w:val="20"/>
          <w:szCs w:val="20"/>
          <w:color w:val="auto"/>
        </w:rPr>
      </w:pPr>
      <w:r>
        <w:rPr>
          <w:rFonts w:ascii="Times New Roman" w:cs="Times New Roman" w:eastAsia="Times New Roman" w:hAnsi="Times New Roman"/>
          <w:sz w:val="16"/>
          <w:szCs w:val="16"/>
          <w:color w:val="auto"/>
        </w:rPr>
        <w:t xml:space="preserve">Because of the uncertainty regarding the nature, timing, and extent of potential IEEPA tariff refunds, the Company elected to account for such refunds as gain contingencies, grounded in the original tariff cost recognition in accordance with ASC 450, </w:t>
      </w:r>
      <w:r>
        <w:rPr>
          <w:rFonts w:ascii="Times New Roman" w:cs="Times New Roman" w:eastAsia="Times New Roman" w:hAnsi="Times New Roman"/>
          <w:sz w:val="16"/>
          <w:szCs w:val="16"/>
          <w:i w:val="1"/>
          <w:iCs w:val="1"/>
          <w:color w:val="auto"/>
        </w:rPr>
        <w:t>Contingencies</w:t>
      </w:r>
      <w:r>
        <w:rPr>
          <w:rFonts w:ascii="Times New Roman" w:cs="Times New Roman" w:eastAsia="Times New Roman" w:hAnsi="Times New Roman"/>
          <w:sz w:val="16"/>
          <w:szCs w:val="16"/>
          <w:color w:val="auto"/>
        </w:rPr>
        <w:t xml:space="preserve"> ("ASC 450"). As of October 3, 2026, the Company has received $67.0 million in IEEPA tariff</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73660</wp:posOffset>
            </wp:positionV>
            <wp:extent cx="7171690"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6"/>
          <w:szCs w:val="16"/>
          <w:color w:val="auto"/>
        </w:rPr>
        <w:t>refunds. During the three and nine months ended October 3, 2026, the Company reduced cost of sales by $12.8 million and $62.0 million, respectively, effectively reversing the IEEPA tariff expense previously recognized in connection with inventory sold to customers since the tariffs were enacted in the first quarter of 2025, and reduced the carrying value of inventory and property, plant and equipment by $1.7 million and $3.4 million, respectively.</w:t>
      </w:r>
    </w:p>
    <w:p>
      <w:pPr>
        <w:spacing w:after="0" w:line="175" w:lineRule="exact"/>
        <w:rPr>
          <w:sz w:val="20"/>
          <w:szCs w:val="20"/>
          <w:color w:val="auto"/>
        </w:rPr>
      </w:pPr>
    </w:p>
    <w:p>
      <w:pPr>
        <w:jc w:val="both"/>
        <w:ind w:right="20" w:firstLine="582"/>
        <w:spacing w:after="0" w:line="306" w:lineRule="auto"/>
        <w:rPr>
          <w:sz w:val="20"/>
          <w:szCs w:val="20"/>
          <w:color w:val="auto"/>
        </w:rPr>
      </w:pPr>
      <w:r>
        <w:rPr>
          <w:rFonts w:ascii="Times New Roman" w:cs="Times New Roman" w:eastAsia="Times New Roman" w:hAnsi="Times New Roman"/>
          <w:sz w:val="16"/>
          <w:szCs w:val="16"/>
          <w:color w:val="auto"/>
        </w:rPr>
        <w:t>Since the invalidation of the IEEPA tariffs, the U.S. presidential administration has imposed additional tariffs affecting the Company, including temporary tariffs under Section 122 of the Trade Act of 1974 (“Section 122 tariffs”), which expired on July 24, 2026 and longer-term tariffs under Section 301 of the Trade Act of 1974 (“Section 301 tariffs”). The U.S. administration could take action to implement additional tariffs in the future. The administration’s actions under the Section 122 tariffs and Section 301 tariffs have been, and continue to be, subject to legal challenges.</w:t>
      </w:r>
    </w:p>
    <w:p>
      <w:pPr>
        <w:spacing w:after="0" w:line="177" w:lineRule="exact"/>
        <w:rPr>
          <w:sz w:val="20"/>
          <w:szCs w:val="20"/>
          <w:color w:val="auto"/>
        </w:rPr>
      </w:pPr>
    </w:p>
    <w:p>
      <w:pPr>
        <w:jc w:val="both"/>
        <w:ind w:firstLine="582"/>
        <w:spacing w:after="0" w:line="306" w:lineRule="auto"/>
        <w:rPr>
          <w:sz w:val="20"/>
          <w:szCs w:val="20"/>
          <w:color w:val="auto"/>
        </w:rPr>
      </w:pPr>
      <w:r>
        <w:rPr>
          <w:rFonts w:ascii="Times New Roman" w:cs="Times New Roman" w:eastAsia="Times New Roman" w:hAnsi="Times New Roman"/>
          <w:sz w:val="16"/>
          <w:szCs w:val="16"/>
          <w:color w:val="auto"/>
        </w:rPr>
        <w:t>Notwithstanding the foregoing, uncertainty remains regarding the amount and timing of remaining IEEPA tariff refunds and the ongoing impact of the Section 122 and Section 301 tariffs, and any anticipated refunds may be delayed, reduced, or denied. The Company intends to seek recovery of its remaining IEEPA tariff refunds, including amounts subject to CAPE Phase 3 processing. In addition, certain aspects of the CIT’s orders concerning IEEPA tariff refunds remain subject to appeal by the U.S. government and other related proceedings, which could affect the availability, amount or timing of the Company’s remaining refunds.</w:t>
      </w:r>
    </w:p>
    <w:p>
      <w:pPr>
        <w:spacing w:after="0" w:line="177" w:lineRule="exact"/>
        <w:rPr>
          <w:sz w:val="20"/>
          <w:szCs w:val="20"/>
          <w:color w:val="auto"/>
        </w:rPr>
      </w:pPr>
    </w:p>
    <w:p>
      <w:pPr>
        <w:jc w:val="both"/>
        <w:ind w:right="20" w:firstLine="582"/>
        <w:spacing w:after="0" w:line="305" w:lineRule="auto"/>
        <w:rPr>
          <w:sz w:val="20"/>
          <w:szCs w:val="20"/>
          <w:color w:val="auto"/>
        </w:rPr>
      </w:pPr>
      <w:r>
        <w:rPr>
          <w:rFonts w:ascii="Times New Roman" w:cs="Times New Roman" w:eastAsia="Times New Roman" w:hAnsi="Times New Roman"/>
          <w:sz w:val="16"/>
          <w:szCs w:val="16"/>
          <w:color w:val="auto"/>
        </w:rPr>
        <w:t>In addition, in response to U.S. tariffs, Canada has imposed reciprocal tariffs on certain U.S.-origin goods imported into Canada, which have adversely affected the Company’s business in Canada. Separately, effective August 15, 2026, the U.S. administration implemented safeguard tariffs on certain quartz surface products. While the Company manufactures a significant portion of its quartz surface products in the United States, certain quartz surface products imported by the Company are subject to these tariffs. The Company will continue to monitor developments in U.S. tariff policy, including responsive tariff measures imposed by U.S. trading partners, and assess the potential impacts on its results of operations, cash flows and financial condition.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Geopolitical Conflicts</w:t>
      </w:r>
    </w:p>
    <w:p>
      <w:pPr>
        <w:spacing w:after="0" w:line="267" w:lineRule="exact"/>
        <w:rPr>
          <w:sz w:val="20"/>
          <w:szCs w:val="20"/>
          <w:color w:val="auto"/>
        </w:rPr>
      </w:pPr>
    </w:p>
    <w:p>
      <w:pPr>
        <w:jc w:val="both"/>
        <w:ind w:right="20" w:firstLine="582"/>
        <w:spacing w:after="0" w:line="222" w:lineRule="exact"/>
        <w:rPr>
          <w:sz w:val="20"/>
          <w:szCs w:val="20"/>
          <w:color w:val="auto"/>
        </w:rPr>
      </w:pPr>
      <w:r>
        <w:rPr>
          <w:rFonts w:ascii="Times New Roman" w:cs="Times New Roman" w:eastAsia="Times New Roman" w:hAnsi="Times New Roman"/>
          <w:sz w:val="16"/>
          <w:szCs w:val="16"/>
          <w:color w:val="auto"/>
        </w:rPr>
        <w:t>Due to its global footprint, Mohawk’s business is sensitive to geopolitical conflicts. The Company maintains operations in Russia through its Global Ceramic and Flooring ROW reporting segments. The Company continues to face legal, regulatory, financial, operational and reputational risks due to its Russian operations. For more information, please refer to Risk Factors, “The Company faces risks and uncertainties related to its operations in Russia” in Part I, Item 1A of the Company’s Annual Report in Form 10-K for the year ended December 31, 2025. In addition, ongoing conflicts in the Middle East region have resulted in increased fuel, oil and natural gas prices, supply chain disruptions, and increased transportation barriers, which in turn have adversely impacted the Company’s cost of sales. Higher energy and fuel prices have also negatively affected consumer confidence, further contributing to deferred discretionary purchases and soft market conditions. The extent to which these geopolitical conflicts may continue to adversely affect the Company’s business, financial condition, results of operations and prospects cannot be predicted. More broadly, ongoing military conflicts may result in further economic sanctions or embargoes, regional instability, geopolitical shifts, retaliatory actions (including the potential nationalization of foreign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owned businesses), increased tensions between the U.S. and countries in which the Company operates, and adverse impacts on the global economy, any of which could negatively affect the Company’s business and results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Liquidity and Capital Expenditures Overview</w:t>
      </w:r>
    </w:p>
    <w:p>
      <w:pPr>
        <w:spacing w:after="0" w:line="267" w:lineRule="exact"/>
        <w:rPr>
          <w:sz w:val="20"/>
          <w:szCs w:val="20"/>
          <w:color w:val="auto"/>
        </w:rPr>
      </w:pPr>
    </w:p>
    <w:p>
      <w:pPr>
        <w:jc w:val="both"/>
        <w:ind w:right="20" w:firstLine="582"/>
        <w:spacing w:after="0" w:line="309" w:lineRule="auto"/>
        <w:rPr>
          <w:sz w:val="20"/>
          <w:szCs w:val="20"/>
          <w:color w:val="auto"/>
        </w:rPr>
      </w:pPr>
      <w:r>
        <w:rPr>
          <w:rFonts w:ascii="Times New Roman" w:cs="Times New Roman" w:eastAsia="Times New Roman" w:hAnsi="Times New Roman"/>
          <w:sz w:val="16"/>
          <w:szCs w:val="16"/>
          <w:color w:val="auto"/>
        </w:rPr>
        <w:t xml:space="preserve">The Company believes it is well positioned with a strong balance sheet. Based on its current liquidity and available credit, the Company is in a position to finance internal investments, acquisitions and/or additional stock purchases and pay current debt as it becomes due. For information on risks that could impact the Company’s results, please refer to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in Part I, Item 1A of the Company’s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81280</wp:posOffset>
            </wp:positionV>
            <wp:extent cx="7171690"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ind w:right="20" w:firstLine="582"/>
        <w:spacing w:after="0" w:line="318" w:lineRule="auto"/>
        <w:rPr>
          <w:sz w:val="20"/>
          <w:szCs w:val="20"/>
          <w:color w:val="auto"/>
        </w:rPr>
      </w:pPr>
      <w:r>
        <w:rPr>
          <w:rFonts w:ascii="Times New Roman" w:cs="Times New Roman" w:eastAsia="Times New Roman" w:hAnsi="Times New Roman"/>
          <w:sz w:val="16"/>
          <w:szCs w:val="16"/>
          <w:color w:val="auto"/>
        </w:rPr>
        <w:t>In 2026, the Company plans to invest approximately $445 million in capital expenditures focused on completing capacity expansion projects and targeted initiatives that will drive cost reduction while improving operational performance.</w:t>
      </w:r>
    </w:p>
    <w:p>
      <w:pPr>
        <w:spacing w:after="0" w:line="179" w:lineRule="exact"/>
        <w:rPr>
          <w:sz w:val="20"/>
          <w:szCs w:val="20"/>
          <w:color w:val="auto"/>
        </w:rPr>
      </w:pPr>
    </w:p>
    <w:p>
      <w:pPr>
        <w:jc w:val="both"/>
        <w:ind w:right="20" w:firstLine="582"/>
        <w:spacing w:after="0" w:line="301" w:lineRule="auto"/>
        <w:rPr>
          <w:sz w:val="20"/>
          <w:szCs w:val="20"/>
          <w:color w:val="auto"/>
        </w:rPr>
      </w:pPr>
      <w:r>
        <w:rPr>
          <w:rFonts w:ascii="Times New Roman" w:cs="Times New Roman" w:eastAsia="Times New Roman" w:hAnsi="Times New Roman"/>
          <w:sz w:val="16"/>
          <w:szCs w:val="16"/>
          <w:color w:val="auto"/>
        </w:rPr>
        <w:t>For the three months ended October 3, 2026, the net earnings attributable to the Company were $163.1 million compared to the net earnings attributable to the Company of $108.8 million for the three months ended September 27, 2025. The change was primarily attributable to increased productivity; improved price and mix and more shipping days, offset by lower volume, the unfavorable net impact of foreign exchange rates, higher input costs driven by the impact of inflation as well as a lower effective tax rate.</w:t>
      </w:r>
    </w:p>
    <w:p>
      <w:pPr>
        <w:spacing w:after="0" w:line="193" w:lineRule="exact"/>
        <w:rPr>
          <w:sz w:val="20"/>
          <w:szCs w:val="20"/>
          <w:color w:val="auto"/>
        </w:rPr>
      </w:pPr>
    </w:p>
    <w:p>
      <w:pPr>
        <w:jc w:val="both"/>
        <w:ind w:firstLine="582"/>
        <w:spacing w:after="0" w:line="309" w:lineRule="auto"/>
        <w:rPr>
          <w:sz w:val="20"/>
          <w:szCs w:val="20"/>
          <w:color w:val="auto"/>
        </w:rPr>
      </w:pPr>
      <w:r>
        <w:rPr>
          <w:rFonts w:ascii="Times New Roman" w:cs="Times New Roman" w:eastAsia="Times New Roman" w:hAnsi="Times New Roman"/>
          <w:sz w:val="16"/>
          <w:szCs w:val="16"/>
          <w:color w:val="auto"/>
        </w:rPr>
        <w:t>For the nine months ended October 3, 2026, the net earnings attributable to the Company were $476.4 million compared to the net earnings attributable to the Company of $327.9 million for the nine months ended September 27, 2025. The change was primarily attributable to increased productivity; improved price and mix, and more shipping days, offset by higher input costs driven by the impact of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73660</wp:posOffset>
            </wp:positionV>
            <wp:extent cx="7171690"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Quarter Ended October 3, 2026, as compared with Quarter Ended September 27,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sales</w:t>
      </w:r>
    </w:p>
    <w:p>
      <w:pPr>
        <w:spacing w:after="0" w:line="242" w:lineRule="exact"/>
        <w:rPr>
          <w:sz w:val="20"/>
          <w:szCs w:val="20"/>
          <w:color w:val="auto"/>
        </w:rPr>
      </w:pPr>
    </w:p>
    <w:p>
      <w:pPr>
        <w:jc w:val="both"/>
        <w:ind w:right="20" w:firstLine="582"/>
        <w:spacing w:after="0" w:line="309" w:lineRule="auto"/>
        <w:rPr>
          <w:sz w:val="20"/>
          <w:szCs w:val="20"/>
          <w:color w:val="auto"/>
        </w:rPr>
      </w:pPr>
      <w:r>
        <w:rPr>
          <w:rFonts w:ascii="Times New Roman" w:cs="Times New Roman" w:eastAsia="Times New Roman" w:hAnsi="Times New Roman"/>
          <w:sz w:val="16"/>
          <w:szCs w:val="16"/>
          <w:color w:val="auto"/>
        </w:rPr>
        <w:t>Net sales for the three months ended October 3, 2026, were $2,786.0 million, reflecting an increase of $28.1 million, or 1.0%, from $2,757.9 million reported for the three months ended September 27, 2025. The increase was primarily attributable to the favorable net impact of price and product mix of approximately $103 million and more shipping days for the quarter ended October 3, 2026, of approximately $38 million, partially offset by lower sales volume of approximately $105 million.</w:t>
      </w:r>
    </w:p>
    <w:p>
      <w:pPr>
        <w:spacing w:after="0" w:line="175" w:lineRule="exact"/>
        <w:rPr>
          <w:sz w:val="20"/>
          <w:szCs w:val="20"/>
          <w:color w:val="auto"/>
        </w:rPr>
      </w:pPr>
    </w:p>
    <w:p>
      <w:pPr>
        <w:jc w:val="both"/>
        <w:ind w:right="20" w:firstLine="582"/>
        <w:spacing w:after="0" w:line="314" w:lineRule="auto"/>
        <w:rPr>
          <w:sz w:val="20"/>
          <w:szCs w:val="20"/>
          <w:color w:val="auto"/>
        </w:rPr>
      </w:pPr>
      <w:r>
        <w:rPr>
          <w:rFonts w:ascii="Times New Roman" w:cs="Times New Roman" w:eastAsia="Times New Roman" w:hAnsi="Times New Roman"/>
          <w:sz w:val="16"/>
          <w:szCs w:val="16"/>
          <w:color w:val="auto"/>
        </w:rPr>
        <w:t>Global Ceramic—Net sales for the three months ended October 3, 2026, were $1,128.6 million, reflecting an increase of $23.9 million, or 2.2%, from $1,104.7 million reported for the three months ended September 27, 2025. The increase was primarily attributable to the favorable net impact of price and product mix of approximately $26 million and more shipping days for the quarter ended October 3, 2026, of approximately $12 million, partially offset by lower sales volume of approximately $10 million.</w:t>
      </w:r>
    </w:p>
    <w:p>
      <w:pPr>
        <w:spacing w:after="0" w:line="394" w:lineRule="exact"/>
        <w:rPr>
          <w:sz w:val="20"/>
          <w:szCs w:val="20"/>
          <w:color w:val="auto"/>
        </w:rPr>
      </w:pPr>
    </w:p>
    <w:p>
      <w:pPr>
        <w:jc w:val="both"/>
        <w:ind w:firstLine="582"/>
        <w:spacing w:after="0" w:line="309" w:lineRule="auto"/>
        <w:rPr>
          <w:sz w:val="20"/>
          <w:szCs w:val="20"/>
          <w:color w:val="auto"/>
        </w:rPr>
      </w:pPr>
      <w:r>
        <w:rPr>
          <w:rFonts w:ascii="Times New Roman" w:cs="Times New Roman" w:eastAsia="Times New Roman" w:hAnsi="Times New Roman"/>
          <w:sz w:val="16"/>
          <w:szCs w:val="16"/>
          <w:color w:val="auto"/>
        </w:rPr>
        <w:t>Flooring NA—Net sales for the three months ended October 3, 2026, were $949.9 million, reflecting an increase of $13.1 million, or 1.4%, from $936.8 million reported for the three months ended September 27, 2025. The increase was primarily attributable to the favorable net impact of price and product mix of approximately $24 million and more shipping days for the quarter ended October 3, 2026, of approximately $15 million, partially offset by lower sales volume of approximately $26 million.</w:t>
      </w:r>
    </w:p>
    <w:p>
      <w:pPr>
        <w:spacing w:after="0" w:line="187" w:lineRule="exact"/>
        <w:rPr>
          <w:sz w:val="20"/>
          <w:szCs w:val="20"/>
          <w:color w:val="auto"/>
        </w:rPr>
      </w:pPr>
    </w:p>
    <w:p>
      <w:pPr>
        <w:jc w:val="both"/>
        <w:ind w:right="20" w:firstLine="582"/>
        <w:spacing w:after="0" w:line="309" w:lineRule="auto"/>
        <w:rPr>
          <w:sz w:val="20"/>
          <w:szCs w:val="20"/>
          <w:color w:val="auto"/>
        </w:rPr>
      </w:pPr>
      <w:r>
        <w:rPr>
          <w:rFonts w:ascii="Times New Roman" w:cs="Times New Roman" w:eastAsia="Times New Roman" w:hAnsi="Times New Roman"/>
          <w:sz w:val="16"/>
          <w:szCs w:val="16"/>
          <w:color w:val="auto"/>
        </w:rPr>
        <w:t>Flooring ROW—Net sales for the three months ended October 3, 2026, were $707.5 million, reflecting a decrease of $8.9 million, or 1.2%, from $716.4 million for the three months ended September 27, 2025. The decrease was primarily attributable to lower sales volume of approximately $70 million, partially offset by the favorable net impact of price and product mix of approximately $53 million and more shipping days for the quarter ended October 3, 2026, of approximately $11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Gross profit</w:t>
      </w:r>
    </w:p>
    <w:p>
      <w:pPr>
        <w:spacing w:after="0" w:line="230" w:lineRule="exact"/>
        <w:rPr>
          <w:sz w:val="20"/>
          <w:szCs w:val="20"/>
          <w:color w:val="auto"/>
        </w:rPr>
      </w:pPr>
    </w:p>
    <w:p>
      <w:pPr>
        <w:jc w:val="both"/>
        <w:ind w:right="20" w:firstLine="582"/>
        <w:spacing w:after="0" w:line="301" w:lineRule="auto"/>
        <w:rPr>
          <w:sz w:val="20"/>
          <w:szCs w:val="20"/>
          <w:color w:val="auto"/>
        </w:rPr>
      </w:pPr>
      <w:r>
        <w:rPr>
          <w:rFonts w:ascii="Times New Roman" w:cs="Times New Roman" w:eastAsia="Times New Roman" w:hAnsi="Times New Roman"/>
          <w:sz w:val="16"/>
          <w:szCs w:val="16"/>
          <w:color w:val="auto"/>
        </w:rPr>
        <w:t>Gross profit for the three months ended October 3, 2026, was $709.7 million, an increase of $54.8 million, or 8.4%, compared to gross profit of $654.9 million for the three months ended September 27, 2025. The increase was primarily attributable to the favorable net impact of price and product mix of approximately $86 million; productivity gains of approximately $36 million, lower restructuring, acquisition and integration-related, and other costs of approximately $34 million and more shipping days for the quarter ended October 3, 2026, of approximately $12 million., partially offset by higher input costs of approximately $83 million which are net of tariff refunds and lower sales volume of approximately $32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Selling, general and administrative expenses</w:t>
      </w:r>
    </w:p>
    <w:p>
      <w:pPr>
        <w:spacing w:after="0" w:line="230" w:lineRule="exact"/>
        <w:rPr>
          <w:sz w:val="20"/>
          <w:szCs w:val="20"/>
          <w:color w:val="auto"/>
        </w:rPr>
      </w:pPr>
    </w:p>
    <w:p>
      <w:pPr>
        <w:jc w:val="both"/>
        <w:ind w:right="20" w:firstLine="582"/>
        <w:spacing w:after="0" w:line="309" w:lineRule="auto"/>
        <w:rPr>
          <w:sz w:val="20"/>
          <w:szCs w:val="20"/>
          <w:color w:val="auto"/>
        </w:rPr>
      </w:pPr>
      <w:r>
        <w:rPr>
          <w:rFonts w:ascii="Times New Roman" w:cs="Times New Roman" w:eastAsia="Times New Roman" w:hAnsi="Times New Roman"/>
          <w:sz w:val="16"/>
          <w:szCs w:val="16"/>
          <w:color w:val="auto"/>
        </w:rPr>
        <w:t>Selling, general and administrative expenses for the three months ended October 3, 2026, were $522.0 million, an increase of $3.8 million, or 0.7%, compared to $518.2 million for the three months ended September 27, 2025. Selling, general and administrative expenses did not significantly change as a percentage of net sales for the three months ended October 3, 2026, compared to the three months ended September 27,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income (loss)</w:t>
      </w:r>
    </w:p>
    <w:p>
      <w:pPr>
        <w:spacing w:after="0" w:line="242" w:lineRule="exact"/>
        <w:rPr>
          <w:sz w:val="20"/>
          <w:szCs w:val="20"/>
          <w:color w:val="auto"/>
        </w:rPr>
      </w:pPr>
    </w:p>
    <w:p>
      <w:pPr>
        <w:jc w:val="both"/>
        <w:ind w:right="20" w:firstLine="582"/>
        <w:spacing w:after="0" w:line="309" w:lineRule="auto"/>
        <w:rPr>
          <w:sz w:val="20"/>
          <w:szCs w:val="20"/>
          <w:color w:val="auto"/>
        </w:rPr>
      </w:pPr>
      <w:r>
        <w:rPr>
          <w:rFonts w:ascii="Times New Roman" w:cs="Times New Roman" w:eastAsia="Times New Roman" w:hAnsi="Times New Roman"/>
          <w:sz w:val="16"/>
          <w:szCs w:val="16"/>
          <w:color w:val="auto"/>
        </w:rPr>
        <w:t>Operating income for the three months ended October 3, 2026, was $187.7 million, reflecting an increase of $51.0 million, or 37.3%, compared to operating income of $136.7 million for the three months ended September 27, 2025. The increase was primarily attributable to the favorable net impact of price and product mix of approximately $85 million; lower restructuring, acquisition and integration-related, and other costs of approximately $56 million and productivity gains of</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81280</wp:posOffset>
            </wp:positionV>
            <wp:extent cx="717169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6"/>
          <w:szCs w:val="16"/>
          <w:color w:val="auto"/>
        </w:rPr>
        <w:t>approximately $47 million, partially offset by higher input costs of approximately $104 million which are net of tariff refunds and lower sales volume of approximately $32 million.</w:t>
      </w:r>
    </w:p>
    <w:p>
      <w:pPr>
        <w:spacing w:after="0" w:line="179" w:lineRule="exact"/>
        <w:rPr>
          <w:sz w:val="20"/>
          <w:szCs w:val="20"/>
          <w:color w:val="auto"/>
        </w:rPr>
      </w:pPr>
    </w:p>
    <w:p>
      <w:pPr>
        <w:jc w:val="both"/>
        <w:ind w:right="20" w:firstLine="582"/>
        <w:spacing w:after="0" w:line="301" w:lineRule="auto"/>
        <w:rPr>
          <w:sz w:val="20"/>
          <w:szCs w:val="20"/>
          <w:color w:val="auto"/>
        </w:rPr>
      </w:pPr>
      <w:r>
        <w:rPr>
          <w:rFonts w:ascii="Times New Roman" w:cs="Times New Roman" w:eastAsia="Times New Roman" w:hAnsi="Times New Roman"/>
          <w:sz w:val="16"/>
          <w:szCs w:val="16"/>
          <w:color w:val="auto"/>
        </w:rPr>
        <w:t>Global Ceramic—Operating income was $65.6 million for the three months ended October 3, 2026, reflecting a decrease of $6.0 million, or 8.4%, compared to operating income of $71.6 million for the three months ended September 27, 2025. The decrease in operating income was primarily attributable to higher input costs of approximately $50 million which are net of tariff refunds and more shipping days for the three months ended October 3, 2026, of approximately $4 million, partially offset by productivity gains of approximately $22 million; the favorable net impact of price and product mix of approximately $19 million and lower restructuring, acquisition and integration-related, and other costs of approximately $10 million. .</w:t>
      </w:r>
    </w:p>
    <w:p>
      <w:pPr>
        <w:spacing w:after="0" w:line="180" w:lineRule="exact"/>
        <w:rPr>
          <w:sz w:val="20"/>
          <w:szCs w:val="20"/>
          <w:color w:val="auto"/>
        </w:rPr>
      </w:pPr>
    </w:p>
    <w:p>
      <w:pPr>
        <w:jc w:val="both"/>
        <w:ind w:firstLine="582"/>
        <w:spacing w:after="0" w:line="306" w:lineRule="auto"/>
        <w:rPr>
          <w:sz w:val="20"/>
          <w:szCs w:val="20"/>
          <w:color w:val="auto"/>
        </w:rPr>
      </w:pPr>
      <w:r>
        <w:rPr>
          <w:rFonts w:ascii="Times New Roman" w:cs="Times New Roman" w:eastAsia="Times New Roman" w:hAnsi="Times New Roman"/>
          <w:sz w:val="16"/>
          <w:szCs w:val="16"/>
          <w:color w:val="auto"/>
        </w:rPr>
        <w:t>Flooring NA—Operating income was $71.9 million for the three months ended October 3, 2026, reflecting an increase of $17.5 million, or 32%, compared to operating income of $54.4 million for the three months ended September 27, 2025. The increase was primarily attributable to productivity gains of approximately $24 million and the favorable net impact of price and product mix of approximately $15 million, partially offset by higher input costs of approximately $15 million which are net of tariff refunds.</w:t>
      </w:r>
    </w:p>
    <w:p>
      <w:pPr>
        <w:spacing w:after="0" w:line="177" w:lineRule="exact"/>
        <w:rPr>
          <w:sz w:val="20"/>
          <w:szCs w:val="20"/>
          <w:color w:val="auto"/>
        </w:rPr>
      </w:pPr>
    </w:p>
    <w:p>
      <w:pPr>
        <w:jc w:val="both"/>
        <w:ind w:right="20" w:firstLine="582"/>
        <w:spacing w:after="0" w:line="306" w:lineRule="auto"/>
        <w:rPr>
          <w:sz w:val="20"/>
          <w:szCs w:val="20"/>
          <w:color w:val="auto"/>
        </w:rPr>
      </w:pPr>
      <w:r>
        <w:rPr>
          <w:rFonts w:ascii="Times New Roman" w:cs="Times New Roman" w:eastAsia="Times New Roman" w:hAnsi="Times New Roman"/>
          <w:sz w:val="16"/>
          <w:szCs w:val="16"/>
          <w:color w:val="auto"/>
        </w:rPr>
        <w:t>Flooring ROW—Operating income was $66.0 million for the three months ended October 3, 2026, reflecting an increase of $22.2 million, or 51%, compared to operating income of $43.8 million for the three months ended September 27, 2025. The increase was primarily attributable to the favorable net impact of price and product mix of approximately $51 million and lower restructuring, acquisition and integration-related, and other costs of approximately $16 million, partially offset by higher input costs of approximately $35 million and lower sales volume of approximately $14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230" w:lineRule="exact"/>
        <w:rPr>
          <w:sz w:val="20"/>
          <w:szCs w:val="20"/>
          <w:color w:val="auto"/>
        </w:rPr>
      </w:pPr>
    </w:p>
    <w:p>
      <w:pPr>
        <w:jc w:val="both"/>
        <w:ind w:firstLine="582"/>
        <w:spacing w:after="0" w:line="318" w:lineRule="auto"/>
        <w:rPr>
          <w:sz w:val="20"/>
          <w:szCs w:val="20"/>
          <w:color w:val="auto"/>
        </w:rPr>
      </w:pPr>
      <w:r>
        <w:rPr>
          <w:rFonts w:ascii="Times New Roman" w:cs="Times New Roman" w:eastAsia="Times New Roman" w:hAnsi="Times New Roman"/>
          <w:sz w:val="16"/>
          <w:szCs w:val="16"/>
          <w:color w:val="auto"/>
        </w:rPr>
        <w:t>Interest expense was $1.6 million for the three months ended October 3, 2026, reflecting a decrease of $3.4 million, or 68%, compared to interest expense of $5.0 million for the three months ended September 27, 2025. The decrease was primarily attributable to cash flow generation, resulting in lower financing needs.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(income) expense, net</w:t>
      </w:r>
    </w:p>
    <w:p>
      <w:pPr>
        <w:spacing w:after="0" w:line="230" w:lineRule="exact"/>
        <w:rPr>
          <w:sz w:val="20"/>
          <w:szCs w:val="20"/>
          <w:color w:val="auto"/>
        </w:rPr>
      </w:pPr>
    </w:p>
    <w:p>
      <w:pPr>
        <w:jc w:val="both"/>
        <w:ind w:right="20" w:firstLine="582"/>
        <w:spacing w:after="0" w:line="334" w:lineRule="auto"/>
        <w:rPr>
          <w:sz w:val="20"/>
          <w:szCs w:val="20"/>
          <w:color w:val="auto"/>
        </w:rPr>
      </w:pPr>
      <w:r>
        <w:rPr>
          <w:rFonts w:ascii="Times New Roman" w:cs="Times New Roman" w:eastAsia="Times New Roman" w:hAnsi="Times New Roman"/>
          <w:sz w:val="16"/>
          <w:szCs w:val="16"/>
          <w:color w:val="auto"/>
        </w:rPr>
        <w:t>Other expense, net was $2.8 million for the three months ended October 3, 2026, compared to other expense, net of $(0.4) million for the three months ended September 27, 2025. Other (income) expense, net did not significantly change for the three months ended October 3, 2026, from the three months ended September 27,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 expense</w:t>
      </w:r>
    </w:p>
    <w:p>
      <w:pPr>
        <w:spacing w:after="0" w:line="242" w:lineRule="exact"/>
        <w:rPr>
          <w:sz w:val="20"/>
          <w:szCs w:val="20"/>
          <w:color w:val="auto"/>
        </w:rPr>
      </w:pPr>
    </w:p>
    <w:p>
      <w:pPr>
        <w:jc w:val="both"/>
        <w:ind w:right="20" w:firstLine="582"/>
        <w:spacing w:after="0" w:line="301" w:lineRule="auto"/>
        <w:rPr>
          <w:sz w:val="20"/>
          <w:szCs w:val="20"/>
          <w:color w:val="auto"/>
        </w:rPr>
      </w:pPr>
      <w:r>
        <w:rPr>
          <w:rFonts w:ascii="Times New Roman" w:cs="Times New Roman" w:eastAsia="Times New Roman" w:hAnsi="Times New Roman"/>
          <w:sz w:val="16"/>
          <w:szCs w:val="16"/>
          <w:color w:val="auto"/>
        </w:rPr>
        <w:t>For the three months ended October 3, 2026, the Company recorded income tax expense of $20.1 million on earnings before income taxes of $183.3 million, for an effective tax rate of 11.0%. For the three months ended September 27, 2025, the Company recorded income tax expense of $23.3 million on earnings before income taxes of $132.1 million, for an effective tax rate of 17.6%. The decrease in the effective tax rate was primarily attributable to a decrease in unrecognized tax benefits during the three months ended October 3, 2026, and a non-recurring tax benefit recorded during the three months ended October 3, 2026, related to a U.S. tax election. These favorable impacts were partially offset by the Company's geographic dispersion of profits and losses for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81280</wp:posOffset>
            </wp:positionV>
            <wp:extent cx="7171690"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Nine Months Ended October 3, 2026, as compared with Nine Months Ended September 27,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sales</w:t>
      </w:r>
    </w:p>
    <w:p>
      <w:pPr>
        <w:spacing w:after="0" w:line="230" w:lineRule="exact"/>
        <w:rPr>
          <w:sz w:val="20"/>
          <w:szCs w:val="20"/>
          <w:color w:val="auto"/>
        </w:rPr>
      </w:pPr>
    </w:p>
    <w:p>
      <w:pPr>
        <w:jc w:val="both"/>
        <w:ind w:right="20" w:firstLine="582"/>
        <w:spacing w:after="0" w:line="306" w:lineRule="auto"/>
        <w:rPr>
          <w:sz w:val="20"/>
          <w:szCs w:val="20"/>
          <w:color w:val="auto"/>
        </w:rPr>
      </w:pPr>
      <w:r>
        <w:rPr>
          <w:rFonts w:ascii="Times New Roman" w:cs="Times New Roman" w:eastAsia="Times New Roman" w:hAnsi="Times New Roman"/>
          <w:sz w:val="16"/>
          <w:szCs w:val="16"/>
          <w:color w:val="auto"/>
        </w:rPr>
        <w:t>Net sales for the nine months ended October 3, 2026, were $8,506.1 million, reflecting an increase of $420.4 million, or 5.2%, from $8,085.7 million reported for the nine months ended September 27, 2025. The increase was primarily attributable to the favorable net impact of foreign exchange rates of approximately $190 million; more shipping days for the nine months ended October 3, 2026, of approximately $168 million and the favorable net impact of price and product mix of approximately $155 million, partially offset by lower sales volume of approximately $129 million.</w:t>
      </w:r>
    </w:p>
    <w:p>
      <w:pPr>
        <w:spacing w:after="0" w:line="177" w:lineRule="exact"/>
        <w:rPr>
          <w:sz w:val="20"/>
          <w:szCs w:val="20"/>
          <w:color w:val="auto"/>
        </w:rPr>
      </w:pPr>
    </w:p>
    <w:p>
      <w:pPr>
        <w:jc w:val="both"/>
        <w:ind w:firstLine="582"/>
        <w:spacing w:after="0" w:line="306" w:lineRule="auto"/>
        <w:rPr>
          <w:sz w:val="20"/>
          <w:szCs w:val="20"/>
          <w:color w:val="auto"/>
        </w:rPr>
      </w:pPr>
      <w:r>
        <w:rPr>
          <w:rFonts w:ascii="Times New Roman" w:cs="Times New Roman" w:eastAsia="Times New Roman" w:hAnsi="Times New Roman"/>
          <w:sz w:val="16"/>
          <w:szCs w:val="16"/>
          <w:color w:val="auto"/>
        </w:rPr>
        <w:t>Global Ceramic—Net sales for the nine months ended October 3, 2026, were $3,435.7 million, reflecting an increase of $216.4 million, or 6.7%, from $3,219.3 million reported for the nine months ended September 27, 2025. The increase was primarily attributable to the favorable net impact of foreign exchange rates of approximately $98 million; more shipping days for the nine months ended October 3, 2026, of approximately $63 million and the favorable net impact of price and product mix of approximately $60 million.</w:t>
      </w:r>
    </w:p>
    <w:p>
      <w:pPr>
        <w:spacing w:after="0" w:line="189" w:lineRule="exact"/>
        <w:rPr>
          <w:sz w:val="20"/>
          <w:szCs w:val="20"/>
          <w:color w:val="auto"/>
        </w:rPr>
      </w:pPr>
    </w:p>
    <w:p>
      <w:pPr>
        <w:jc w:val="both"/>
        <w:ind w:right="20" w:firstLine="582"/>
        <w:spacing w:after="0" w:line="301" w:lineRule="auto"/>
        <w:rPr>
          <w:sz w:val="20"/>
          <w:szCs w:val="20"/>
          <w:color w:val="auto"/>
        </w:rPr>
      </w:pPr>
      <w:r>
        <w:rPr>
          <w:rFonts w:ascii="Times New Roman" w:cs="Times New Roman" w:eastAsia="Times New Roman" w:hAnsi="Times New Roman"/>
          <w:sz w:val="16"/>
          <w:szCs w:val="16"/>
          <w:color w:val="auto"/>
        </w:rPr>
        <w:t>Flooring NA—Net sales for the nine months ended October 3, 2026, were $2,806.0 million, reflecting an increase of $60.0 million, or 2.2%, from $2,746.0 million reported for the nine months ended September 27, 2025. The increase was primarily attributable to more shipping days for the nine months ended October 3, 2026, of approximately $53 million and the favorable current year comparative impact of the order management system conversion of $52 million, partially offset by lower sales volume of approximately $50 million.</w:t>
      </w:r>
    </w:p>
    <w:p>
      <w:pPr>
        <w:spacing w:after="0" w:line="193" w:lineRule="exact"/>
        <w:rPr>
          <w:sz w:val="20"/>
          <w:szCs w:val="20"/>
          <w:color w:val="auto"/>
        </w:rPr>
      </w:pPr>
    </w:p>
    <w:p>
      <w:pPr>
        <w:jc w:val="both"/>
        <w:ind w:right="20" w:firstLine="582"/>
        <w:spacing w:after="0" w:line="301" w:lineRule="auto"/>
        <w:rPr>
          <w:sz w:val="20"/>
          <w:szCs w:val="20"/>
          <w:color w:val="auto"/>
        </w:rPr>
      </w:pPr>
      <w:r>
        <w:rPr>
          <w:rFonts w:ascii="Times New Roman" w:cs="Times New Roman" w:eastAsia="Times New Roman" w:hAnsi="Times New Roman"/>
          <w:sz w:val="16"/>
          <w:szCs w:val="16"/>
          <w:color w:val="auto"/>
        </w:rPr>
        <w:t>Flooring ROW—Net sales for the nine months ended October 3, 2026, were $2,264.4 million, reflecting an increase of $144.0 million, or 6.8%, from $2,120.4 million reported for the nine months ended September 27, 2025. The increase was primarily attributable to the favorable net impact of foreign exchange rates of approximately $93 million; the favorable net impact of price and product mix of approximately $92 million and more shipping days for the nine months ended October 3, 2026, of approximately $52 million, partially offset by lower sales volume of approximately $92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Gross profit</w:t>
      </w:r>
    </w:p>
    <w:p>
      <w:pPr>
        <w:spacing w:after="0" w:line="230" w:lineRule="exact"/>
        <w:rPr>
          <w:sz w:val="20"/>
          <w:szCs w:val="20"/>
          <w:color w:val="auto"/>
        </w:rPr>
      </w:pPr>
    </w:p>
    <w:p>
      <w:pPr>
        <w:jc w:val="both"/>
        <w:ind w:firstLine="582"/>
        <w:spacing w:after="0" w:line="301" w:lineRule="auto"/>
        <w:rPr>
          <w:sz w:val="20"/>
          <w:szCs w:val="20"/>
          <w:color w:val="auto"/>
        </w:rPr>
      </w:pPr>
      <w:r>
        <w:rPr>
          <w:rFonts w:ascii="Times New Roman" w:cs="Times New Roman" w:eastAsia="Times New Roman" w:hAnsi="Times New Roman"/>
          <w:sz w:val="16"/>
          <w:szCs w:val="16"/>
          <w:color w:val="auto"/>
        </w:rPr>
        <w:t>Gross profit for the nine months ended October 3, 2026, was $2,146.8 million, an increase of $194.3 million, or 10.0%, compared to gross profit of $1,952.5 million for the nine months ended September 27, 2025. The increase in gross profit dollars was primarily attributable to the favorable net impact of price and product mix of approximately $148 million; productivity gains of approximately $100 million; more shipping days for the nine months ended October 3, 2026, of approximately $44 million; the favorable net impact of foreign exchange rates of approximately $28 million; lower restructuring, acquisition and integration-related, and other costs of approximately $26 million and the favorable current year comparative impact of the order management system conversion of $25 million, partially offset by higher input costs of approximately $131 million which are net of tariff refunds and lower sales volume of approximately $40 million.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Selling, general and administrative expenses</w:t>
      </w:r>
    </w:p>
    <w:p>
      <w:pPr>
        <w:spacing w:after="0" w:line="242" w:lineRule="exact"/>
        <w:rPr>
          <w:sz w:val="20"/>
          <w:szCs w:val="20"/>
          <w:color w:val="auto"/>
        </w:rPr>
      </w:pPr>
    </w:p>
    <w:p>
      <w:pPr>
        <w:jc w:val="both"/>
        <w:ind w:right="20" w:firstLine="582"/>
        <w:spacing w:after="0" w:line="309" w:lineRule="auto"/>
        <w:rPr>
          <w:sz w:val="20"/>
          <w:szCs w:val="20"/>
          <w:color w:val="auto"/>
        </w:rPr>
      </w:pPr>
      <w:r>
        <w:rPr>
          <w:rFonts w:ascii="Times New Roman" w:cs="Times New Roman" w:eastAsia="Times New Roman" w:hAnsi="Times New Roman"/>
          <w:sz w:val="16"/>
          <w:szCs w:val="16"/>
          <w:color w:val="auto"/>
        </w:rPr>
        <w:t>Selling, general and administrative expenses for the nine months ended October 3, 2026, were $1,593.5 million, an increase of $62.5 million, or 4.1%, compared to $1,531.0 million for the nine months ended September 27, 2025. Selling, general and administrative expenses did not significantly change as a percentage of net sales for the nine months ended October 3, 2026, compared to the nine months ended September 27,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income</w:t>
      </w:r>
    </w:p>
    <w:p>
      <w:pPr>
        <w:spacing w:after="0" w:line="242" w:lineRule="exact"/>
        <w:rPr>
          <w:sz w:val="20"/>
          <w:szCs w:val="20"/>
          <w:color w:val="auto"/>
        </w:rPr>
      </w:pPr>
    </w:p>
    <w:p>
      <w:pPr>
        <w:jc w:val="both"/>
        <w:ind w:right="20" w:firstLine="582"/>
        <w:spacing w:after="0" w:line="301" w:lineRule="auto"/>
        <w:rPr>
          <w:sz w:val="20"/>
          <w:szCs w:val="20"/>
          <w:color w:val="auto"/>
        </w:rPr>
      </w:pPr>
      <w:r>
        <w:rPr>
          <w:rFonts w:ascii="Times New Roman" w:cs="Times New Roman" w:eastAsia="Times New Roman" w:hAnsi="Times New Roman"/>
          <w:sz w:val="16"/>
          <w:szCs w:val="16"/>
          <w:color w:val="auto"/>
        </w:rPr>
        <w:t>Operating income for the nine months ended October 3, 2026, was $553.3 million, reflecting an increase of $131.8 million, or 31.3%, compared to operating income of $421.5 million for the nine months ended September 27, 2025. The increase was primarily attributable to the favorable net impact of price and product mix of approximately $147 million; productivity gains of approximately $126 million, lower restructuring, acquisition and integration-related, and other costs of approximately $43 million and more shipping days for the nine months ended October 3, 2026, of approximately $35 million,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73660</wp:posOffset>
            </wp:positionV>
            <wp:extent cx="7171690"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6"/>
          <w:szCs w:val="16"/>
          <w:color w:val="auto"/>
        </w:rPr>
        <w:t>partially offset by higher input costs of approximately $171 million which are net of tariff refunds; lower sales volume of approximately $42 million and higher costs associated with investments in new product development and marketing costs of approximately $20 million.</w:t>
      </w:r>
    </w:p>
    <w:p>
      <w:pPr>
        <w:spacing w:after="0" w:line="179" w:lineRule="exact"/>
        <w:rPr>
          <w:sz w:val="20"/>
          <w:szCs w:val="20"/>
          <w:color w:val="auto"/>
        </w:rPr>
      </w:pPr>
    </w:p>
    <w:p>
      <w:pPr>
        <w:jc w:val="both"/>
        <w:ind w:firstLine="582"/>
        <w:spacing w:after="0" w:line="301" w:lineRule="auto"/>
        <w:rPr>
          <w:sz w:val="20"/>
          <w:szCs w:val="20"/>
          <w:color w:val="auto"/>
        </w:rPr>
      </w:pPr>
      <w:r>
        <w:rPr>
          <w:rFonts w:ascii="Times New Roman" w:cs="Times New Roman" w:eastAsia="Times New Roman" w:hAnsi="Times New Roman"/>
          <w:sz w:val="16"/>
          <w:szCs w:val="16"/>
          <w:color w:val="auto"/>
        </w:rPr>
        <w:t>Global Ceramic—Operating income was $211.1 million for the nine months ended October 3, 2026, reflecting an increase of $9.6 million, or 4.8%, compared to operating income of $201.5 million for the nine months ended September 27, 2025. The increase was primarily attributable to productivity gains of approximately $64 million; the favorable net impact of price and product mix of approximately $45 million and lower restructuring, acquisition and integration-related, and other costs of approximately $11 million, partially offset by higher input costs of approximately $100 million which are net of tariff refunds and the unfavorable net impact of foreign exchange rates of approximately $9 million.</w:t>
      </w:r>
    </w:p>
    <w:p>
      <w:pPr>
        <w:spacing w:after="0" w:line="180" w:lineRule="exact"/>
        <w:rPr>
          <w:sz w:val="20"/>
          <w:szCs w:val="20"/>
          <w:color w:val="auto"/>
        </w:rPr>
      </w:pPr>
    </w:p>
    <w:p>
      <w:pPr>
        <w:jc w:val="both"/>
        <w:ind w:right="20" w:firstLine="582"/>
        <w:spacing w:after="0" w:line="301" w:lineRule="auto"/>
        <w:rPr>
          <w:sz w:val="20"/>
          <w:szCs w:val="20"/>
          <w:color w:val="auto"/>
        </w:rPr>
      </w:pPr>
      <w:r>
        <w:rPr>
          <w:rFonts w:ascii="Times New Roman" w:cs="Times New Roman" w:eastAsia="Times New Roman" w:hAnsi="Times New Roman"/>
          <w:sz w:val="16"/>
          <w:szCs w:val="16"/>
          <w:color w:val="auto"/>
        </w:rPr>
        <w:t>Flooring NA—Operating income was $173.4 million for the nine months ended October 3, 2026, reflecting an increase of $57.1 million, or 49.2%, compared to operating income of $116.3 million for the nine months ended September 27, 2025. The increase was primarily attributable to productivity gains of approximately $51 million; the favorable current year comparative impact of the order management system conversion of $24 million and the favorable net impact of price and product mix of approximately $15 million, partially offset by higher costs associated with investments in new product development and marketing costs of approximately $14 million, higher input costs of approximately $10 million which are net of tariff refunds.</w:t>
      </w:r>
    </w:p>
    <w:p>
      <w:pPr>
        <w:spacing w:after="0" w:line="192" w:lineRule="exact"/>
        <w:rPr>
          <w:sz w:val="20"/>
          <w:szCs w:val="20"/>
          <w:color w:val="auto"/>
        </w:rPr>
      </w:pPr>
    </w:p>
    <w:p>
      <w:pPr>
        <w:jc w:val="both"/>
        <w:ind w:right="20" w:firstLine="582"/>
        <w:spacing w:after="0" w:line="301" w:lineRule="auto"/>
        <w:rPr>
          <w:sz w:val="20"/>
          <w:szCs w:val="20"/>
          <w:color w:val="auto"/>
        </w:rPr>
      </w:pPr>
      <w:r>
        <w:rPr>
          <w:rFonts w:ascii="Times New Roman" w:cs="Times New Roman" w:eastAsia="Times New Roman" w:hAnsi="Times New Roman"/>
          <w:sz w:val="16"/>
          <w:szCs w:val="16"/>
          <w:color w:val="auto"/>
        </w:rPr>
        <w:t>Flooring ROW—Operating income was $215.2 million for the nine months ended October 3, 2026, reflecting an increase of $46.9 million, or 27.8%, compared to operating income of $168.3 million for the nine months ended September 27, 2025. The increase was primarily attributable to the favorable net impact of price and product mix of approximately $87 million; more shipping days for the nine months ended October 3, 2026, of approximately $13 million; productivity gains of approximately $11 million and lower restructuring, acquisition and integration-related, and other costs of approximately $8 million, partially offset by higher input costs of approximately $52 million which are net of tariff refunds and lower sales volume of approximately $28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230" w:lineRule="exact"/>
        <w:rPr>
          <w:sz w:val="20"/>
          <w:szCs w:val="20"/>
          <w:color w:val="auto"/>
        </w:rPr>
      </w:pPr>
    </w:p>
    <w:p>
      <w:pPr>
        <w:jc w:val="both"/>
        <w:ind w:firstLine="582"/>
        <w:spacing w:after="0" w:line="334" w:lineRule="auto"/>
        <w:rPr>
          <w:sz w:val="20"/>
          <w:szCs w:val="20"/>
          <w:color w:val="auto"/>
        </w:rPr>
      </w:pPr>
      <w:r>
        <w:rPr>
          <w:rFonts w:ascii="Times New Roman" w:cs="Times New Roman" w:eastAsia="Times New Roman" w:hAnsi="Times New Roman"/>
          <w:sz w:val="16"/>
          <w:szCs w:val="16"/>
          <w:color w:val="auto"/>
        </w:rPr>
        <w:t>Interest expense was $8.5 million for the nine months ended October 3, 2026, reflecting a decrease of $8.1 million, or 49%, compared to interest expense of $16.6 million for the nine months ended September 27, 2025. The decrease was primarily attributable to cash flow generation, resulting in lower financing needs.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(income) expense, net</w:t>
      </w:r>
    </w:p>
    <w:p>
      <w:pPr>
        <w:spacing w:after="0" w:line="230" w:lineRule="exact"/>
        <w:rPr>
          <w:sz w:val="20"/>
          <w:szCs w:val="20"/>
          <w:color w:val="auto"/>
        </w:rPr>
      </w:pPr>
    </w:p>
    <w:p>
      <w:pPr>
        <w:jc w:val="both"/>
        <w:ind w:right="20" w:firstLine="582"/>
        <w:spacing w:after="0" w:line="309" w:lineRule="auto"/>
        <w:rPr>
          <w:sz w:val="20"/>
          <w:szCs w:val="20"/>
          <w:color w:val="auto"/>
        </w:rPr>
      </w:pPr>
      <w:r>
        <w:rPr>
          <w:rFonts w:ascii="Times New Roman" w:cs="Times New Roman" w:eastAsia="Times New Roman" w:hAnsi="Times New Roman"/>
          <w:sz w:val="16"/>
          <w:szCs w:val="16"/>
          <w:color w:val="auto"/>
        </w:rPr>
        <w:t>Other expense, net was $4.7 million for the nine months ended October 3, 2026, reflecting an unfavorable change of $2.5 million compared to other expense, net of $2.2 million for the nine months ended September 27, 2025. Other expense, net did not significantly change for the nine months ended October 3, 2026, from the nine months ended September 27,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 expense</w:t>
      </w:r>
    </w:p>
    <w:p>
      <w:pPr>
        <w:spacing w:after="0" w:line="230" w:lineRule="exact"/>
        <w:rPr>
          <w:sz w:val="20"/>
          <w:szCs w:val="20"/>
          <w:color w:val="auto"/>
        </w:rPr>
      </w:pPr>
    </w:p>
    <w:p>
      <w:pPr>
        <w:jc w:val="both"/>
        <w:ind w:firstLine="582"/>
        <w:spacing w:after="0" w:line="298" w:lineRule="auto"/>
        <w:rPr>
          <w:sz w:val="20"/>
          <w:szCs w:val="20"/>
          <w:color w:val="auto"/>
        </w:rPr>
      </w:pPr>
      <w:r>
        <w:rPr>
          <w:rFonts w:ascii="Times New Roman" w:cs="Times New Roman" w:eastAsia="Times New Roman" w:hAnsi="Times New Roman"/>
          <w:sz w:val="16"/>
          <w:szCs w:val="16"/>
          <w:color w:val="auto"/>
        </w:rPr>
        <w:t>For the nine months ended October 3, 2026, the Company recorded income tax expense of $63.6 million on earnings before income taxes of $540.1 million, for an effective tax rate of 11.8%. For the nine months ended September 27, 2025, the Company recorded income tax expense of $74.8 million on earnings before income taxes of $402.7 million for an effective tax rate of 18.6%. The decrease in the effective tax rate was primarily attributable to a decrease in unrecognized tax benefits during the nine months ended October 3, 2026 and tax benefits recognized during the nine months ended October 3, 2026, including (i) a one-time tax benefit associated with a legal entity restructuring initiative, (ii) tax credits issued by the Brazilian government related to prior years, (iii) a foreign tax credit benefit recorded in connection with a U.S. amended return and (iv) a non-recurring tax benefit related to a U.S. tax election. These favorable impacts were partially offset by the Company’s geographic dispersion of profits and losses for the respective periods.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81280</wp:posOffset>
            </wp:positionV>
            <wp:extent cx="7171690"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55" w:lineRule="exact"/>
        <w:rPr>
          <w:sz w:val="20"/>
          <w:szCs w:val="20"/>
          <w:color w:val="auto"/>
        </w:rPr>
      </w:pPr>
    </w:p>
    <w:p>
      <w:pPr>
        <w:jc w:val="both"/>
        <w:ind w:firstLine="582"/>
        <w:spacing w:after="0" w:line="334" w:lineRule="auto"/>
        <w:rPr>
          <w:sz w:val="20"/>
          <w:szCs w:val="20"/>
          <w:color w:val="auto"/>
        </w:rPr>
      </w:pPr>
      <w:r>
        <w:rPr>
          <w:rFonts w:ascii="Times New Roman" w:cs="Times New Roman" w:eastAsia="Times New Roman" w:hAnsi="Times New Roman"/>
          <w:sz w:val="16"/>
          <w:szCs w:val="16"/>
          <w:color w:val="auto"/>
        </w:rPr>
        <w:t>The Company’s primary capital requirements are for working capital, capital expenditures and acquisitions. The Company’s capital needs are met primarily through a combination of internally generated funds, commercial paper, bank credit lines, term and senior notes and credit terms from suppliers.</w:t>
      </w:r>
    </w:p>
    <w:p>
      <w:pPr>
        <w:spacing w:after="0" w:line="155" w:lineRule="exact"/>
        <w:rPr>
          <w:sz w:val="20"/>
          <w:szCs w:val="20"/>
          <w:color w:val="auto"/>
        </w:rPr>
      </w:pPr>
    </w:p>
    <w:p>
      <w:pPr>
        <w:jc w:val="both"/>
        <w:ind w:firstLine="582"/>
        <w:spacing w:after="0" w:line="309" w:lineRule="auto"/>
        <w:rPr>
          <w:sz w:val="20"/>
          <w:szCs w:val="20"/>
          <w:color w:val="auto"/>
        </w:rPr>
      </w:pPr>
      <w:r>
        <w:rPr>
          <w:rFonts w:ascii="Times New Roman" w:cs="Times New Roman" w:eastAsia="Times New Roman" w:hAnsi="Times New Roman"/>
          <w:sz w:val="16"/>
          <w:szCs w:val="16"/>
          <w:color w:val="auto"/>
        </w:rPr>
        <w:t>Net cash provided by operating activities in the nine months ended October 3, 2026 was $897.8 million, compared to net cash provided by operating activities of $596.6 million in the nine months ended September 27, 2025. The change was primarily attributable to higher net earnings and the changes in accounts receivable and inventories.</w:t>
      </w:r>
    </w:p>
    <w:p>
      <w:pPr>
        <w:spacing w:after="0" w:line="187" w:lineRule="exact"/>
        <w:rPr>
          <w:sz w:val="20"/>
          <w:szCs w:val="20"/>
          <w:color w:val="auto"/>
        </w:rPr>
      </w:pPr>
    </w:p>
    <w:p>
      <w:pPr>
        <w:jc w:val="both"/>
        <w:ind w:right="20" w:firstLine="582"/>
        <w:spacing w:after="0" w:line="309" w:lineRule="auto"/>
        <w:rPr>
          <w:sz w:val="20"/>
          <w:szCs w:val="20"/>
          <w:color w:val="auto"/>
        </w:rPr>
      </w:pPr>
      <w:r>
        <w:rPr>
          <w:rFonts w:ascii="Times New Roman" w:cs="Times New Roman" w:eastAsia="Times New Roman" w:hAnsi="Times New Roman"/>
          <w:sz w:val="16"/>
          <w:szCs w:val="16"/>
          <w:color w:val="auto"/>
        </w:rPr>
        <w:t>Net cash used in investing activities in the nine months ended October 3, 2026 was $264.8 million compared to net cash used in investing activities of $245.6 million in the nine months ended September 27, 2025. The change was primarily attributable to the increase in capital expenditures of $25.9 million for the nine months ended October 3, 2026, compared to the nine months ended September 27, 2025.</w:t>
      </w:r>
    </w:p>
    <w:p>
      <w:pPr>
        <w:spacing w:after="0" w:line="175" w:lineRule="exact"/>
        <w:rPr>
          <w:sz w:val="20"/>
          <w:szCs w:val="20"/>
          <w:color w:val="auto"/>
        </w:rPr>
      </w:pPr>
    </w:p>
    <w:p>
      <w:pPr>
        <w:jc w:val="both"/>
        <w:ind w:right="20" w:firstLine="582"/>
        <w:spacing w:after="0" w:line="306" w:lineRule="auto"/>
        <w:rPr>
          <w:sz w:val="20"/>
          <w:szCs w:val="20"/>
          <w:color w:val="auto"/>
        </w:rPr>
      </w:pPr>
      <w:r>
        <w:rPr>
          <w:rFonts w:ascii="Times New Roman" w:cs="Times New Roman" w:eastAsia="Times New Roman" w:hAnsi="Times New Roman"/>
          <w:sz w:val="16"/>
          <w:szCs w:val="16"/>
          <w:color w:val="auto"/>
        </w:rPr>
        <w:t>Net cash used in financing activities in the nine months ended October 3, 2026 was $645.6 million compared to net cash used in financing activities of $532.4 million in the nine months ended September 27, 2025. The change was primarily attributable to higher share repurchases of $276.8 million and lower net proceeds on the Senior Credit Facility of $16.9 million as compared to the nine months ended September 27, 2025, offset by lower net repayments on Commercial Paper of $230.9 million in the nine months ended October 3, 2026 as compared to net repayments of $415.4 million in the nine months ended September 27, 2025.</w:t>
      </w:r>
    </w:p>
    <w:p>
      <w:pPr>
        <w:spacing w:after="0" w:line="189" w:lineRule="exact"/>
        <w:rPr>
          <w:sz w:val="20"/>
          <w:szCs w:val="20"/>
          <w:color w:val="auto"/>
        </w:rPr>
      </w:pPr>
    </w:p>
    <w:p>
      <w:pPr>
        <w:jc w:val="both"/>
        <w:ind w:firstLine="582"/>
        <w:spacing w:after="0" w:line="298" w:lineRule="auto"/>
        <w:rPr>
          <w:sz w:val="20"/>
          <w:szCs w:val="20"/>
          <w:color w:val="auto"/>
        </w:rPr>
      </w:pPr>
      <w:r>
        <w:rPr>
          <w:rFonts w:ascii="Times New Roman" w:cs="Times New Roman" w:eastAsia="Times New Roman" w:hAnsi="Times New Roman"/>
          <w:sz w:val="16"/>
          <w:szCs w:val="16"/>
          <w:color w:val="auto"/>
        </w:rPr>
        <w:t>As of October 3, 2026, the Company had cash of $816.8 million, of which $67.5 million was in the United States and $749.3 million was in foreign countries, including approximately 38% of the Company’s cash and cash equivalents held in Russia. The Company believes that its cash and cash equivalents on hand, cash generated from operations and availability under its existing credit facilities will be sufficient to meet its capital expenditure, working capital and debt servicing requirements over at least the next twelve months. The Company plans to permanently reinvest the cash held outside the United States. The Company believes that its cash and cash equivalents, cash generated from operations, and availability under its Senior Credit Facility will be sufficient to meet its planned capital expenditures, working capital investments and debt servicing requirements over the next twelve months. The Company continually evaluates its projected needs and may conduct additional debt financings, subject to market conditions, to increase its liquidity and to take advantage of attractive financing opportunities.</w:t>
      </w:r>
    </w:p>
    <w:p>
      <w:pPr>
        <w:spacing w:after="0" w:line="184" w:lineRule="exact"/>
        <w:rPr>
          <w:sz w:val="20"/>
          <w:szCs w:val="20"/>
          <w:color w:val="auto"/>
        </w:rPr>
      </w:pPr>
    </w:p>
    <w:p>
      <w:pPr>
        <w:jc w:val="both"/>
        <w:ind w:right="20" w:firstLine="582"/>
        <w:spacing w:after="0" w:line="285" w:lineRule="auto"/>
        <w:rPr>
          <w:sz w:val="20"/>
          <w:szCs w:val="20"/>
          <w:color w:val="auto"/>
        </w:rPr>
      </w:pPr>
      <w:r>
        <w:rPr>
          <w:rFonts w:ascii="Times New Roman" w:cs="Times New Roman" w:eastAsia="Times New Roman" w:hAnsi="Times New Roman"/>
          <w:sz w:val="16"/>
          <w:szCs w:val="16"/>
          <w:color w:val="auto"/>
        </w:rPr>
        <w:t>On July 24, 2025, the Company’s Board of Directors approved a new share repurchase program, authorizing the Company to repurchase up to $500 million of its common stock (the “2025 Share Repurchase Program”). For the three months ended October 3, 2026, the Company purchased $261.3 million of its common stock under the 2025 Share Repurchase Program. As of October 3, 2026, there remained $34.4 million authorized under the 2025 Share Repurchase Program and as of October 20, 2026, the authorization was exhausted. On October 26, 2026, the Company’s Board of Directors approved a new share repurchase program, authorizing the Company to repurchase up to $500 million of its common stock.</w:t>
      </w:r>
    </w:p>
    <w:p>
      <w:pPr>
        <w:spacing w:after="0" w:line="179" w:lineRule="exact"/>
        <w:rPr>
          <w:sz w:val="20"/>
          <w:szCs w:val="20"/>
          <w:color w:val="auto"/>
        </w:rPr>
      </w:pPr>
    </w:p>
    <w:p>
      <w:pPr>
        <w:jc w:val="both"/>
        <w:ind w:firstLine="582"/>
        <w:spacing w:after="0" w:line="302" w:lineRule="auto"/>
        <w:rPr>
          <w:sz w:val="20"/>
          <w:szCs w:val="20"/>
          <w:color w:val="auto"/>
        </w:rPr>
      </w:pPr>
      <w:r>
        <w:rPr>
          <w:rFonts w:ascii="Times New Roman" w:cs="Times New Roman" w:eastAsia="Times New Roman" w:hAnsi="Times New Roman"/>
          <w:sz w:val="16"/>
          <w:szCs w:val="16"/>
          <w:color w:val="auto"/>
        </w:rPr>
        <w:t xml:space="preserve">See Note 16, </w:t>
      </w:r>
      <w:r>
        <w:rPr>
          <w:rFonts w:ascii="Times New Roman" w:cs="Times New Roman" w:eastAsia="Times New Roman" w:hAnsi="Times New Roman"/>
          <w:sz w:val="16"/>
          <w:szCs w:val="16"/>
          <w:i w:val="1"/>
          <w:iCs w:val="1"/>
          <w:color w:val="auto"/>
        </w:rPr>
        <w:t>Debt</w:t>
      </w:r>
      <w:r>
        <w:rPr>
          <w:rFonts w:ascii="Times New Roman" w:cs="Times New Roman" w:eastAsia="Times New Roman" w:hAnsi="Times New Roman"/>
          <w:sz w:val="16"/>
          <w:szCs w:val="16"/>
          <w:color w:val="auto"/>
        </w:rPr>
        <w:t>, of the notes to the Condensed Consolidated Financial Statements included in Part I, Item 1 of this Form 10-Q for further discussion of the Company’s long-term debt. The Company may continue, from time to time, to retire its outstanding debt through cash purchases in the open market, privately negotiated transactions or otherwise. Such repurchases, if any, will depend on prevailing market conditions, the Company’s liquidity requirements, contractual restrictions and other factors. The amount involved may be material.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267" w:lineRule="exact"/>
        <w:rPr>
          <w:sz w:val="20"/>
          <w:szCs w:val="20"/>
          <w:color w:val="auto"/>
        </w:rPr>
      </w:pPr>
    </w:p>
    <w:p>
      <w:pPr>
        <w:jc w:val="both"/>
        <w:ind w:right="20" w:firstLine="582"/>
        <w:spacing w:after="0" w:line="318" w:lineRule="auto"/>
        <w:rPr>
          <w:sz w:val="20"/>
          <w:szCs w:val="20"/>
          <w:color w:val="auto"/>
        </w:rPr>
      </w:pPr>
      <w:r>
        <w:rPr>
          <w:rFonts w:ascii="Times New Roman" w:cs="Times New Roman" w:eastAsia="Times New Roman" w:hAnsi="Times New Roman"/>
          <w:sz w:val="16"/>
          <w:szCs w:val="16"/>
          <w:color w:val="auto"/>
        </w:rPr>
        <w:t>There have been no significant changes to the Company’s contractual obligations as disclosed in the Company’s 2025 Annual Report filed on Form 10-K except as described herein.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81280</wp:posOffset>
            </wp:positionV>
            <wp:extent cx="7171690"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255" w:lineRule="exact"/>
        <w:rPr>
          <w:sz w:val="20"/>
          <w:szCs w:val="20"/>
          <w:color w:val="auto"/>
        </w:rPr>
      </w:pPr>
    </w:p>
    <w:p>
      <w:pPr>
        <w:ind w:firstLine="582"/>
        <w:spacing w:after="0" w:line="334" w:lineRule="auto"/>
        <w:rPr>
          <w:sz w:val="20"/>
          <w:szCs w:val="20"/>
          <w:color w:val="auto"/>
        </w:rPr>
      </w:pPr>
      <w:r>
        <w:rPr>
          <w:rFonts w:ascii="Times New Roman" w:cs="Times New Roman" w:eastAsia="Times New Roman" w:hAnsi="Times New Roman"/>
          <w:sz w:val="16"/>
          <w:szCs w:val="16"/>
          <w:color w:val="auto"/>
        </w:rPr>
        <w:t>There have been no significant changes to the Company’s critical accounting policies and estimates during the period. The Company's critical accounting policies are described in its 2025 Annual Report filed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81280</wp:posOffset>
            </wp:positionV>
            <wp:extent cx="7171690"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Inflation</w:t>
      </w:r>
    </w:p>
    <w:p>
      <w:pPr>
        <w:spacing w:after="0" w:line="255" w:lineRule="exact"/>
        <w:rPr>
          <w:sz w:val="20"/>
          <w:szCs w:val="20"/>
          <w:color w:val="auto"/>
        </w:rPr>
      </w:pPr>
    </w:p>
    <w:p>
      <w:pPr>
        <w:jc w:val="both"/>
        <w:ind w:right="20" w:firstLine="582"/>
        <w:spacing w:after="0" w:line="301" w:lineRule="auto"/>
        <w:rPr>
          <w:sz w:val="20"/>
          <w:szCs w:val="20"/>
          <w:color w:val="auto"/>
        </w:rPr>
      </w:pPr>
      <w:r>
        <w:rPr>
          <w:rFonts w:ascii="Times New Roman" w:cs="Times New Roman" w:eastAsia="Times New Roman" w:hAnsi="Times New Roman"/>
          <w:sz w:val="16"/>
          <w:szCs w:val="16"/>
          <w:color w:val="auto"/>
        </w:rPr>
        <w:t>Inflation affects the Company’s manufacturing costs, distribution costs and operating expenses. The Company expects raw material prices, many of which are petroleum-based, to fluctuate based upon worldwide supply and demand for commodities used in the Company’s production processes. Although the Company attempts to pass on increases in raw material, labor, energy and fuel-related costs to its customers, the Company’s ability to do so is dependent upon the rate and magnitude of any increase, competitive pressures and market conditions for the Company’s products. There have been in the past, and may be in the future, periods of time during which increases in these costs cannot be fully recovered. In the past, the Company has often been able to enhance productivity and develop new product innovations to help offset increases in costs resulting from inflation in its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2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Company did not have any off-balance sheet arrangements as of October 3, 2026.</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Seasonality</w:t>
      </w:r>
    </w:p>
    <w:p>
      <w:pPr>
        <w:spacing w:after="0" w:line="267" w:lineRule="exact"/>
        <w:rPr>
          <w:sz w:val="20"/>
          <w:szCs w:val="20"/>
          <w:color w:val="auto"/>
        </w:rPr>
      </w:pPr>
    </w:p>
    <w:p>
      <w:pPr>
        <w:jc w:val="both"/>
        <w:ind w:firstLine="582"/>
        <w:spacing w:after="0" w:line="309" w:lineRule="auto"/>
        <w:rPr>
          <w:sz w:val="20"/>
          <w:szCs w:val="20"/>
          <w:color w:val="auto"/>
        </w:rPr>
      </w:pPr>
      <w:r>
        <w:rPr>
          <w:rFonts w:ascii="Times New Roman" w:cs="Times New Roman" w:eastAsia="Times New Roman" w:hAnsi="Times New Roman"/>
          <w:sz w:val="16"/>
          <w:szCs w:val="16"/>
          <w:color w:val="auto"/>
        </w:rPr>
        <w:t>The Company is a calendar year-end company. Global Ceramic and Flooring NA typically have higher net sales in the second and third quarters. Flooring ROW typically has higher net sales in the second and fourth quarters. Because periods of economic downturn can affect the seasonality of each segment, sales for any one quarter are not necessarily indicative of the sales that may be achieved for any other quarter or for the full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255" w:lineRule="exact"/>
        <w:rPr>
          <w:sz w:val="20"/>
          <w:szCs w:val="20"/>
          <w:color w:val="auto"/>
        </w:rPr>
      </w:pPr>
    </w:p>
    <w:p>
      <w:pPr>
        <w:jc w:val="both"/>
        <w:ind w:right="20" w:firstLine="582"/>
        <w:spacing w:after="0" w:line="302" w:lineRule="auto"/>
        <w:rPr>
          <w:sz w:val="20"/>
          <w:szCs w:val="20"/>
          <w:color w:val="auto"/>
        </w:rPr>
      </w:pPr>
      <w:r>
        <w:rPr>
          <w:rFonts w:ascii="Times New Roman" w:cs="Times New Roman" w:eastAsia="Times New Roman" w:hAnsi="Times New Roman"/>
          <w:sz w:val="16"/>
          <w:szCs w:val="16"/>
          <w:color w:val="auto"/>
        </w:rPr>
        <w:t>As of October 3, 2026, approximately 98% of the Company’s debt portfolio was comprised of fixed-rate debt and 2% was floating-rate debt. A 1.0 percentage point increase in the interest rate of the floating-rate debt would have resulted in an increase in interest expense of $0.3 million for the three months ended October 3, 2026.</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There have been no significant changes to the Company’s exposure to market risk as disclosed in the Company’s 2025 Annual Report filed on Form 10-K.</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81280</wp:posOffset>
            </wp:positionV>
            <wp:extent cx="7171690"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255" w:lineRule="exact"/>
        <w:rPr>
          <w:sz w:val="20"/>
          <w:szCs w:val="20"/>
          <w:color w:val="auto"/>
        </w:rPr>
      </w:pPr>
    </w:p>
    <w:p>
      <w:pPr>
        <w:jc w:val="both"/>
        <w:ind w:right="60" w:firstLine="582"/>
        <w:spacing w:after="0" w:line="306" w:lineRule="auto"/>
        <w:rPr>
          <w:sz w:val="20"/>
          <w:szCs w:val="20"/>
          <w:color w:val="auto"/>
        </w:rPr>
      </w:pPr>
      <w:r>
        <w:rPr>
          <w:rFonts w:ascii="Times New Roman" w:cs="Times New Roman" w:eastAsia="Times New Roman" w:hAnsi="Times New Roman"/>
          <w:sz w:val="16"/>
          <w:szCs w:val="16"/>
          <w:color w:val="auto"/>
        </w:rPr>
        <w:t>Based on an evaluation of the effectiveness of the Company’s disclosure controls and procedures (as defined in Rules 13a-15(e) and 15d-15(e) under the Securities Exchange Act of 1934, as amended), which have been designed to provide reasonable assurance that such controls and procedures will meet their objectives, as of the end of the period covered by this report, the Company’s Chief Executive Officer and Chief Financial Officer have concluded that such controls and procedures were effective at a reasonable assurance level for the period covered by this report.</w:t>
      </w:r>
    </w:p>
    <w:p>
      <w:pPr>
        <w:spacing w:after="0" w:line="189" w:lineRule="exact"/>
        <w:rPr>
          <w:sz w:val="20"/>
          <w:szCs w:val="20"/>
          <w:color w:val="auto"/>
        </w:rPr>
      </w:pPr>
    </w:p>
    <w:p>
      <w:pPr>
        <w:ind w:firstLine="582"/>
        <w:spacing w:after="0" w:line="334" w:lineRule="auto"/>
        <w:rPr>
          <w:sz w:val="20"/>
          <w:szCs w:val="20"/>
          <w:color w:val="auto"/>
        </w:rPr>
      </w:pPr>
      <w:r>
        <w:rPr>
          <w:rFonts w:ascii="Times New Roman" w:cs="Times New Roman" w:eastAsia="Times New Roman" w:hAnsi="Times New Roman"/>
          <w:sz w:val="16"/>
          <w:szCs w:val="16"/>
          <w:color w:val="auto"/>
        </w:rPr>
        <w:t>There were no changes in the Company’s internal control over financial reporting that occurred during the period covered by this report that materially affected, or are reasonably likely to materially affect, the Company’s internal control over financial reporting.</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81280</wp:posOffset>
            </wp:positionV>
            <wp:extent cx="7171690"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8" w:name="page39"/>
    <w:bookmarkEnd w:id="38"/>
    <w:p>
      <w:pPr>
        <w:ind w:left="3"/>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PART II. OTHER INFORMATION</w:t>
      </w:r>
    </w:p>
    <w:p>
      <w:pPr>
        <w:spacing w:after="0" w:line="253" w:lineRule="exact"/>
        <w:rPr>
          <w:sz w:val="20"/>
          <w:szCs w:val="20"/>
          <w:color w:val="auto"/>
        </w:rPr>
      </w:pPr>
    </w:p>
    <w:p>
      <w:pPr>
        <w:ind w:left="3"/>
        <w:spacing w:after="0"/>
        <w:tabs>
          <w:tab w:leader="none" w:pos="843"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67" w:lineRule="exact"/>
        <w:rPr>
          <w:sz w:val="20"/>
          <w:szCs w:val="20"/>
          <w:color w:val="auto"/>
        </w:rPr>
      </w:pPr>
    </w:p>
    <w:p>
      <w:pPr>
        <w:jc w:val="both"/>
        <w:ind w:left="3" w:firstLine="582"/>
        <w:spacing w:after="0" w:line="309" w:lineRule="auto"/>
        <w:rPr>
          <w:sz w:val="20"/>
          <w:szCs w:val="20"/>
          <w:color w:val="auto"/>
        </w:rPr>
      </w:pPr>
      <w:r>
        <w:rPr>
          <w:rFonts w:ascii="Times New Roman" w:cs="Times New Roman" w:eastAsia="Times New Roman" w:hAnsi="Times New Roman"/>
          <w:sz w:val="16"/>
          <w:szCs w:val="16"/>
          <w:color w:val="auto"/>
        </w:rPr>
        <w:t>The Company is involved in various lawsuits, claims, investigations and other legal matters from time to time in the regular course of its business. Except as noted elsewhere in this report, there are no material legal proceedings pending or known by the Company to be contemplated to which the Company is a party or to which any of its property is subject.</w:t>
      </w:r>
    </w:p>
    <w:p>
      <w:pPr>
        <w:spacing w:after="0" w:line="173" w:lineRule="exact"/>
        <w:rPr>
          <w:sz w:val="20"/>
          <w:szCs w:val="20"/>
          <w:color w:val="auto"/>
        </w:rPr>
      </w:pPr>
    </w:p>
    <w:p>
      <w:pPr>
        <w:jc w:val="both"/>
        <w:ind w:left="3" w:right="20" w:firstLine="582"/>
        <w:spacing w:after="0" w:line="337" w:lineRule="auto"/>
        <w:rPr>
          <w:sz w:val="20"/>
          <w:szCs w:val="20"/>
          <w:color w:val="auto"/>
        </w:rPr>
      </w:pPr>
      <w:r>
        <w:rPr>
          <w:rFonts w:ascii="Times New Roman" w:cs="Times New Roman" w:eastAsia="Times New Roman" w:hAnsi="Times New Roman"/>
          <w:sz w:val="16"/>
          <w:szCs w:val="16"/>
          <w:color w:val="auto"/>
        </w:rPr>
        <w:t xml:space="preserve">See Note 15,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of the notes to the Condensed Consolidated Financial Statements included in Part I, Item 1 of this Form 10-Q for a discussion of the Company’s legal proceedings.</w:t>
      </w:r>
    </w:p>
    <w:p>
      <w:pPr>
        <w:spacing w:after="0" w:line="320" w:lineRule="exact"/>
        <w:rPr>
          <w:sz w:val="20"/>
          <w:szCs w:val="20"/>
          <w:color w:val="auto"/>
        </w:rPr>
      </w:pPr>
    </w:p>
    <w:p>
      <w:pPr>
        <w:ind w:left="3"/>
        <w:spacing w:after="0"/>
        <w:tabs>
          <w:tab w:leader="none" w:pos="843" w:val="left"/>
        </w:tabs>
        <w:rPr>
          <w:sz w:val="20"/>
          <w:szCs w:val="20"/>
          <w:color w:val="auto"/>
        </w:rPr>
      </w:pPr>
      <w:r>
        <w:rPr>
          <w:rFonts w:ascii="Times New Roman" w:cs="Times New Roman" w:eastAsia="Times New Roman" w:hAnsi="Times New Roman"/>
          <w:sz w:val="16"/>
          <w:szCs w:val="16"/>
          <w:b w:val="1"/>
          <w:bCs w:val="1"/>
          <w:color w:val="auto"/>
        </w:rPr>
        <w:t>Item 1A.</w:t>
        <w:tab/>
        <w:t>Risk Factors</w:t>
      </w:r>
    </w:p>
    <w:p>
      <w:pPr>
        <w:spacing w:after="0" w:line="255" w:lineRule="exact"/>
        <w:rPr>
          <w:sz w:val="20"/>
          <w:szCs w:val="20"/>
          <w:color w:val="auto"/>
        </w:rPr>
      </w:pPr>
    </w:p>
    <w:p>
      <w:pPr>
        <w:jc w:val="both"/>
        <w:ind w:left="3" w:right="20" w:firstLine="582"/>
        <w:spacing w:after="0" w:line="309" w:lineRule="auto"/>
        <w:rPr>
          <w:sz w:val="20"/>
          <w:szCs w:val="20"/>
          <w:color w:val="auto"/>
        </w:rPr>
      </w:pPr>
      <w:r>
        <w:rPr>
          <w:rFonts w:ascii="Times New Roman" w:cs="Times New Roman" w:eastAsia="Times New Roman" w:hAnsi="Times New Roman"/>
          <w:sz w:val="16"/>
          <w:szCs w:val="16"/>
          <w:color w:val="auto"/>
        </w:rPr>
        <w:t>There have been no material changes in the Company’s risk factors from those disclosed in Part I, Item 1A to the Company’s Annual Report on Form 10-K for the year ended December 31, 2025. The risk factors disclosed in these reports, in addition to the other information set forth in this report, could materially affect the Company’s business, financial condition or results.</w:t>
      </w:r>
    </w:p>
    <w:p>
      <w:pPr>
        <w:spacing w:after="0" w:line="185" w:lineRule="exact"/>
        <w:rPr>
          <w:sz w:val="20"/>
          <w:szCs w:val="20"/>
          <w:color w:val="auto"/>
        </w:rPr>
      </w:pPr>
    </w:p>
    <w:p>
      <w:pPr>
        <w:ind w:left="3"/>
        <w:spacing w:after="0"/>
        <w:tabs>
          <w:tab w:leader="none" w:pos="843"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255" w:lineRule="exact"/>
        <w:rPr>
          <w:sz w:val="20"/>
          <w:szCs w:val="20"/>
          <w:color w:val="auto"/>
        </w:rPr>
      </w:pPr>
    </w:p>
    <w:p>
      <w:pPr>
        <w:ind w:left="3" w:right="60" w:firstLine="582"/>
        <w:spacing w:after="0" w:line="285" w:lineRule="auto"/>
        <w:rPr>
          <w:sz w:val="20"/>
          <w:szCs w:val="20"/>
          <w:color w:val="auto"/>
        </w:rPr>
      </w:pPr>
      <w:r>
        <w:rPr>
          <w:rFonts w:ascii="Times New Roman" w:cs="Times New Roman" w:eastAsia="Times New Roman" w:hAnsi="Times New Roman"/>
          <w:sz w:val="16"/>
          <w:szCs w:val="16"/>
          <w:color w:val="auto"/>
        </w:rPr>
        <w:t>On July 24, 2025, the Company’s Board of Directors approved a share repurchase program, authorizing the Company to repurchase up to $500 million of its common stock (the “2025 Share Repurchase Program”). For the three months ended October 3, 2026, the Company purchased $261.3 million of its common stock under the 2025 Share Repurchase Program. As of October 3, 2026, there remained $34.4 million authorized under the 2025 Share Repurchase Program and as of October 20, 2026, the authorization was exhausted. On October 26, 2026, the Company’s Board of Directors approved a new share repurchase program, authorizing the Company to repurchase up to $500 million of its common stock (the “2026 Share Repurchase Program” and together with the 2025 Share Repurchase Program, the “Share Repurchase Programs”).</w:t>
      </w:r>
    </w:p>
    <w:p>
      <w:pPr>
        <w:spacing w:after="0" w:line="181" w:lineRule="exact"/>
        <w:rPr>
          <w:sz w:val="20"/>
          <w:szCs w:val="20"/>
          <w:color w:val="auto"/>
        </w:rPr>
      </w:pPr>
    </w:p>
    <w:p>
      <w:pPr>
        <w:jc w:val="both"/>
        <w:ind w:left="3" w:right="20" w:firstLine="582"/>
        <w:spacing w:after="0" w:line="282" w:lineRule="auto"/>
        <w:rPr>
          <w:sz w:val="20"/>
          <w:szCs w:val="20"/>
          <w:color w:val="auto"/>
        </w:rPr>
      </w:pPr>
      <w:r>
        <w:rPr>
          <w:rFonts w:ascii="Times New Roman" w:cs="Times New Roman" w:eastAsia="Times New Roman" w:hAnsi="Times New Roman"/>
          <w:sz w:val="16"/>
          <w:szCs w:val="16"/>
          <w:color w:val="auto"/>
        </w:rPr>
        <w:t>Under the Share Repurchase Programs, the Company may purchase common stock in open market transactions, block or privately negotiated transactions, and may from time to time purchase shares pursuant to trading plans in accordance with Rules 10b5-1 or 10b-18 under the Exchange Act or by any combination of such methods. The number of shares to be purchased and the timing of the purchases are based on a variety of factors, including, but not limited to, the level of cash balances, credit availability, debt covenant restrictions, general business conditions, regulatory requirements, the market price of the Company’s stock and the availability of alternative investment opportunities. No time limit was set for completion of repurchases under the Share Repurchase Programs and the Share Repurchase Programs may be suspended or discontinued at any time.</w:t>
      </w:r>
    </w:p>
    <w:p>
      <w:pPr>
        <w:spacing w:after="0" w:line="182"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The following table provides information regarding share repurchase activity during the three months ended October 3, 2026:</w:t>
      </w:r>
    </w:p>
    <w:p>
      <w:pPr>
        <w:spacing w:after="0" w:line="257"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36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Total Number of Shares</w:t>
            </w:r>
          </w:p>
        </w:tc>
        <w:tc>
          <w:tcPr>
            <w:tcW w:w="14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Approximate Dollar Value of</w:t>
            </w:r>
          </w:p>
        </w:tc>
        <w:tc>
          <w:tcPr>
            <w:tcW w:w="0" w:type="dxa"/>
            <w:vAlign w:val="bottom"/>
          </w:tcPr>
          <w:p>
            <w:pPr>
              <w:spacing w:after="0"/>
              <w:rPr>
                <w:sz w:val="1"/>
                <w:szCs w:val="1"/>
                <w:color w:val="auto"/>
              </w:rPr>
            </w:pPr>
          </w:p>
        </w:tc>
      </w:tr>
      <w:tr>
        <w:trPr>
          <w:trHeight w:val="133"/>
        </w:trPr>
        <w:tc>
          <w:tcPr>
            <w:tcW w:w="3660" w:type="dxa"/>
            <w:vAlign w:val="bottom"/>
          </w:tcPr>
          <w:p>
            <w:pPr>
              <w:spacing w:after="0"/>
              <w:rPr>
                <w:sz w:val="11"/>
                <w:szCs w:val="11"/>
                <w:color w:val="auto"/>
              </w:rPr>
            </w:pPr>
          </w:p>
        </w:tc>
        <w:tc>
          <w:tcPr>
            <w:tcW w:w="2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Total Number of Shares</w:t>
            </w:r>
          </w:p>
        </w:tc>
        <w:tc>
          <w:tcPr>
            <w:tcW w:w="1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Shares That May Yet Be</w:t>
            </w:r>
          </w:p>
        </w:tc>
        <w:tc>
          <w:tcPr>
            <w:tcW w:w="0" w:type="dxa"/>
            <w:vAlign w:val="bottom"/>
          </w:tcPr>
          <w:p>
            <w:pPr>
              <w:spacing w:after="0"/>
              <w:rPr>
                <w:sz w:val="1"/>
                <w:szCs w:val="1"/>
                <w:color w:val="auto"/>
              </w:rPr>
            </w:pPr>
          </w:p>
        </w:tc>
      </w:tr>
      <w:tr>
        <w:trPr>
          <w:trHeight w:val="129"/>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Period</w:t>
            </w:r>
          </w:p>
        </w:tc>
        <w:tc>
          <w:tcPr>
            <w:tcW w:w="24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vMerge w:val="restart"/>
          </w:tcPr>
          <w:p>
            <w:pPr>
              <w:jc w:val="right"/>
              <w:ind w:right="2"/>
              <w:spacing w:after="0"/>
              <w:rPr>
                <w:sz w:val="20"/>
                <w:szCs w:val="20"/>
                <w:color w:val="auto"/>
              </w:rPr>
            </w:pPr>
            <w:r>
              <w:rPr>
                <w:rFonts w:ascii="Times New Roman" w:cs="Times New Roman" w:eastAsia="Times New Roman" w:hAnsi="Times New Roman"/>
                <w:sz w:val="13"/>
                <w:szCs w:val="13"/>
                <w:color w:val="auto"/>
              </w:rPr>
              <w:t>Average Price Paid per Share</w:t>
            </w:r>
          </w:p>
        </w:tc>
        <w:tc>
          <w:tcPr>
            <w:tcW w:w="1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Purchased as Part of Publicly</w:t>
            </w:r>
          </w:p>
        </w:tc>
        <w:tc>
          <w:tcPr>
            <w:tcW w:w="140" w:type="dxa"/>
            <w:vAlign w:val="bottom"/>
          </w:tcPr>
          <w:p>
            <w:pPr>
              <w:spacing w:after="0"/>
              <w:rPr>
                <w:sz w:val="11"/>
                <w:szCs w:val="11"/>
                <w:color w:val="auto"/>
              </w:rPr>
            </w:pPr>
          </w:p>
        </w:tc>
        <w:tc>
          <w:tcPr>
            <w:tcW w:w="1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Purchased Under the Plan in</w:t>
            </w:r>
          </w:p>
        </w:tc>
        <w:tc>
          <w:tcPr>
            <w:tcW w:w="0" w:type="dxa"/>
            <w:vAlign w:val="bottom"/>
          </w:tcPr>
          <w:p>
            <w:pPr>
              <w:spacing w:after="0"/>
              <w:rPr>
                <w:sz w:val="1"/>
                <w:szCs w:val="1"/>
                <w:color w:val="auto"/>
              </w:rPr>
            </w:pPr>
          </w:p>
        </w:tc>
      </w:tr>
      <w:tr>
        <w:trPr>
          <w:trHeight w:val="182"/>
        </w:trPr>
        <w:tc>
          <w:tcPr>
            <w:tcW w:w="3660" w:type="dxa"/>
            <w:vAlign w:val="bottom"/>
            <w:tcBorders>
              <w:bottom w:val="single" w:sz="8" w:color="auto"/>
            </w:tcBorders>
            <w:vMerge w:val="continue"/>
          </w:tcPr>
          <w:p>
            <w:pPr>
              <w:spacing w:after="0"/>
              <w:rPr>
                <w:sz w:val="15"/>
                <w:szCs w:val="15"/>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Purchased in Millions</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16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3"/>
                <w:szCs w:val="13"/>
                <w:color w:val="auto"/>
              </w:rPr>
              <w:t>Announced Plan in Millions</w:t>
            </w:r>
            <w:r>
              <w:rPr>
                <w:rFonts w:ascii="Times New Roman" w:cs="Times New Roman" w:eastAsia="Times New Roman" w:hAnsi="Times New Roman"/>
                <w:sz w:val="16"/>
                <w:szCs w:val="16"/>
                <w:color w:val="auto"/>
                <w:vertAlign w:val="superscript"/>
              </w:rPr>
              <w:t>(1)</w:t>
            </w: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Millions</w:t>
            </w:r>
            <w:r>
              <w:rPr>
                <w:rFonts w:ascii="Times New Roman" w:cs="Times New Roman" w:eastAsia="Times New Roman" w:hAnsi="Times New Roman"/>
                <w:sz w:val="8"/>
                <w:szCs w:val="8"/>
                <w:color w:val="auto"/>
              </w:rPr>
              <w:t>(1)</w:t>
            </w:r>
          </w:p>
        </w:tc>
        <w:tc>
          <w:tcPr>
            <w:tcW w:w="0" w:type="dxa"/>
            <w:vAlign w:val="bottom"/>
          </w:tcPr>
          <w:p>
            <w:pPr>
              <w:spacing w:after="0"/>
              <w:rPr>
                <w:sz w:val="1"/>
                <w:szCs w:val="1"/>
                <w:color w:val="auto"/>
              </w:rPr>
            </w:pPr>
          </w:p>
        </w:tc>
      </w:tr>
      <w:tr>
        <w:trPr>
          <w:trHeight w:val="198"/>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5 through August 7, 2026</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w:t>
            </w:r>
          </w:p>
        </w:tc>
        <w:tc>
          <w:tcPr>
            <w:tcW w:w="0" w:type="dxa"/>
            <w:vAlign w:val="bottom"/>
          </w:tcPr>
          <w:p>
            <w:pPr>
              <w:spacing w:after="0"/>
              <w:rPr>
                <w:sz w:val="1"/>
                <w:szCs w:val="1"/>
                <w:color w:val="auto"/>
              </w:rPr>
            </w:pPr>
          </w:p>
        </w:tc>
      </w:tr>
      <w:tr>
        <w:trPr>
          <w:trHeight w:val="206"/>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8 through September 4, 2026</w:t>
            </w: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132.7</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0" w:type="dxa"/>
            <w:vAlign w:val="bottom"/>
          </w:tcPr>
          <w:p>
            <w:pPr>
              <w:spacing w:after="0"/>
              <w:rPr>
                <w:sz w:val="1"/>
                <w:szCs w:val="1"/>
                <w:color w:val="auto"/>
              </w:rPr>
            </w:pPr>
          </w:p>
        </w:tc>
      </w:tr>
      <w:tr>
        <w:trPr>
          <w:trHeight w:val="206"/>
        </w:trPr>
        <w:tc>
          <w:tcPr>
            <w:tcW w:w="3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5 through October 3, 2026</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126.3</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203"/>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130.2</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23" w:hanging="123"/>
        <w:spacing w:after="0"/>
        <w:tabs>
          <w:tab w:leader="none" w:pos="123" w:val="left"/>
        </w:tabs>
        <w:numPr>
          <w:ilvl w:val="0"/>
          <w:numId w:val="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On July 25, 2025, the Company announced the Board of Directors’ approval of the 2025 share repurchase program in the amount of $500 million, which authorization was exhausted on October 20, 2026.</w:t>
      </w:r>
    </w:p>
    <w:p>
      <w:pPr>
        <w:spacing w:after="0" w:line="222" w:lineRule="exact"/>
        <w:rPr>
          <w:sz w:val="20"/>
          <w:szCs w:val="20"/>
          <w:color w:val="auto"/>
        </w:rPr>
      </w:pPr>
    </w:p>
    <w:p>
      <w:pPr>
        <w:ind w:left="3"/>
        <w:spacing w:after="0"/>
        <w:tabs>
          <w:tab w:leader="none" w:pos="843"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71690"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3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None.</w:t>
      </w:r>
    </w:p>
    <w:p>
      <w:pPr>
        <w:spacing w:after="0" w:line="25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75" w:lineRule="exact"/>
        <w:rPr>
          <w:sz w:val="20"/>
          <w:szCs w:val="20"/>
          <w:color w:val="auto"/>
        </w:rPr>
      </w:pPr>
    </w:p>
    <w:p>
      <w:pPr>
        <w:ind w:firstLine="582"/>
        <w:spacing w:after="0" w:line="275"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6"/>
          <w:szCs w:val="16"/>
          <w:color w:val="auto"/>
        </w:rPr>
        <w:t>he information concerning mine safety violations or other regulatory matters required by Section 1503(a) of the Dodd-Frank Wall Street Reform and Consumer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Protection Act and Item 104 of Regulation S-K is included in Exhibit 95.1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73660</wp:posOffset>
            </wp:positionV>
            <wp:extent cx="7171690"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Arrangements</w:t>
      </w:r>
    </w:p>
    <w:p>
      <w:pPr>
        <w:spacing w:after="0" w:line="267" w:lineRule="exact"/>
        <w:rPr>
          <w:sz w:val="20"/>
          <w:szCs w:val="20"/>
          <w:color w:val="auto"/>
        </w:rPr>
      </w:pPr>
    </w:p>
    <w:p>
      <w:pPr>
        <w:ind w:firstLine="582"/>
        <w:spacing w:after="0" w:line="302" w:lineRule="auto"/>
        <w:rPr>
          <w:sz w:val="20"/>
          <w:szCs w:val="20"/>
          <w:color w:val="auto"/>
        </w:rPr>
      </w:pPr>
      <w:r>
        <w:rPr>
          <w:rFonts w:ascii="Times New Roman" w:cs="Times New Roman" w:eastAsia="Times New Roman" w:hAnsi="Times New Roman"/>
          <w:sz w:val="16"/>
          <w:szCs w:val="16"/>
          <w:color w:val="auto"/>
        </w:rPr>
        <w:t>During the fiscal quarter ended October 3, 2026, no director or officer of the Company notified the Company that they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81280</wp:posOffset>
            </wp:positionV>
            <wp:extent cx="7171690"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6.</w:t>
            </w:r>
          </w:p>
        </w:tc>
        <w:tc>
          <w:tcPr>
            <w:tcW w:w="101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Exhibits</w:t>
            </w:r>
          </w:p>
        </w:tc>
      </w:tr>
      <w:tr>
        <w:trPr>
          <w:trHeight w:val="314"/>
        </w:trPr>
        <w:tc>
          <w:tcPr>
            <w:tcW w:w="7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5"/>
                <w:szCs w:val="15"/>
                <w:b w:val="1"/>
                <w:bCs w:val="1"/>
                <w:color w:val="auto"/>
              </w:rPr>
              <w:t>No.</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760" w:type="dxa"/>
            <w:vAlign w:val="bottom"/>
            <w:tcBorders>
              <w:bottom w:val="single" w:sz="8" w:color="auto"/>
            </w:tcBorders>
          </w:tcPr>
          <w:p>
            <w:pPr>
              <w:ind w:left="4520"/>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176"/>
        </w:trPr>
        <w:tc>
          <w:tcPr>
            <w:tcW w:w="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3.1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97"/>
              </w:rPr>
              <w:t>Restated Certificate of Incorporation of Mohawk, as amended. (Incorporated herein by reference to Exhibit 3.1 in the Company’s Annual Report on Form 10-K for the</w:t>
            </w:r>
          </w:p>
        </w:tc>
      </w:tr>
      <w:tr>
        <w:trPr>
          <w:trHeight w:val="190"/>
        </w:trPr>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fiscal year ended December 31, 1998.)</w:t>
            </w:r>
          </w:p>
        </w:tc>
      </w:tr>
    </w:tbl>
    <w:p>
      <w:pPr>
        <w:spacing w:after="0" w:line="4" w:lineRule="exact"/>
        <w:rPr>
          <w:sz w:val="20"/>
          <w:szCs w:val="20"/>
          <w:color w:val="auto"/>
        </w:rPr>
      </w:pPr>
    </w:p>
    <w:p>
      <w:pPr>
        <w:sectPr>
          <w:pgSz w:w="11900" w:h="16838" w:orient="portrait"/>
          <w:cols w:equalWidth="0" w:num="1">
            <w:col w:w="10880"/>
          </w:cols>
          <w:pgMar w:left="320" w:top="135" w:right="699" w:bottom="1440" w:gutter="0" w:footer="0" w:header="0"/>
        </w:sectPr>
      </w:pPr>
    </w:p>
    <w:p>
      <w:pPr>
        <w:ind w:left="20"/>
        <w:spacing w:after="0"/>
        <w:rPr>
          <w:sz w:val="20"/>
          <w:szCs w:val="20"/>
          <w:color w:val="auto"/>
        </w:rPr>
      </w:pPr>
      <w:r>
        <w:rPr>
          <w:rFonts w:ascii="Times New Roman" w:cs="Times New Roman" w:eastAsia="Times New Roman" w:hAnsi="Times New Roman"/>
          <w:sz w:val="15"/>
          <w:szCs w:val="15"/>
          <w:color w:val="auto"/>
        </w:rPr>
        <w:t>3.2</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10.1</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31.1</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31.2</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32.1</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32.2</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95.1</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101.SCH</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101.CAL</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101.DEF</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101.LAB</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101.PRE</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104</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55">
        <w:r>
          <w:rPr>
            <w:rFonts w:ascii="Times New Roman" w:cs="Times New Roman" w:eastAsia="Times New Roman" w:hAnsi="Times New Roman"/>
            <w:sz w:val="14"/>
            <w:szCs w:val="14"/>
            <w:u w:val="single" w:color="auto"/>
            <w:color w:val="0000FF"/>
          </w:rPr>
          <w:t>Amended and Restated Bylaws of Mohawk. (Incorporated herein by reference to Exhibit 3.1 in the Company’s Report on Form 8-K dated October 31, 2024.)</w:t>
        </w:r>
      </w:hyperlink>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Form of Restricted Stock Unit Award Agreement under the Mohawk Industries, Inc. 2026 Incentive Plan.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0000FF"/>
        </w:rPr>
        <w:t>Certification Pursuant to Rule 13a-14(a).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0000FF"/>
        </w:rPr>
        <w:t>Certification Pursuant to Rule 13a-14(a).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0000FF"/>
        </w:rPr>
        <w:t>Certification Pursuant to Section 906 of the Sarbanes-Oxley Act of 2002.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0000FF"/>
        </w:rPr>
        <w:t>Certification Pursuant to Section 906 of the Sarbanes-Oxley Act of 2002.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0000FF"/>
        </w:rPr>
        <w:t>Mine Safety Disclosure pursuant to Section 1503(a) of the Dodd-Frank Wall Street Reform and Consumer Protection Act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XBRL Taxonomy Extension Schema Document.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XBRL Taxonomy Extension Calculation Linkbase Document.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XBRL Taxonomy Extension Definition Linkbase Document.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XBRL Taxonomy Extension Label Linkbase Document.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XBRL Taxonomy Extension Presentation Linkbase Document.</w:t>
      </w:r>
    </w:p>
    <w:p>
      <w:pPr>
        <w:spacing w:after="0" w:line="58" w:lineRule="exact"/>
        <w:rPr>
          <w:sz w:val="20"/>
          <w:szCs w:val="20"/>
          <w:color w:val="auto"/>
        </w:rPr>
      </w:pPr>
    </w:p>
    <w:p>
      <w:pPr>
        <w:ind w:right="3660"/>
        <w:spacing w:after="0" w:line="233" w:lineRule="auto"/>
        <w:rPr>
          <w:sz w:val="20"/>
          <w:szCs w:val="20"/>
          <w:color w:val="auto"/>
        </w:rPr>
      </w:pPr>
      <w:r>
        <w:rPr>
          <w:rFonts w:ascii="Times New Roman" w:cs="Times New Roman" w:eastAsia="Times New Roman" w:hAnsi="Times New Roman"/>
          <w:sz w:val="15"/>
          <w:szCs w:val="15"/>
          <w:color w:val="auto"/>
        </w:rPr>
        <w:t>Cover Page Interactive Data File (embedded within the Inline XBRL document and contained in Exhibit 101)</w:t>
      </w:r>
    </w:p>
    <w:p>
      <w:pPr>
        <w:spacing w:after="0" w:line="200" w:lineRule="exact"/>
        <w:rPr>
          <w:sz w:val="20"/>
          <w:szCs w:val="20"/>
          <w:color w:val="auto"/>
        </w:rPr>
      </w:pPr>
    </w:p>
    <w:p>
      <w:pPr>
        <w:sectPr>
          <w:pgSz w:w="11900" w:h="16838" w:orient="portrait"/>
          <w:cols w:equalWidth="0" w:num="2">
            <w:col w:w="560" w:space="580"/>
            <w:col w:w="9740"/>
          </w:cols>
          <w:pgMar w:left="320" w:top="135"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73660</wp:posOffset>
            </wp:positionV>
            <wp:extent cx="7171690"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0880"/>
          </w:cols>
          <w:pgMar w:left="320" w:top="135" w:right="6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82" w:lineRule="exact"/>
        <w:rPr>
          <w:sz w:val="20"/>
          <w:szCs w:val="20"/>
          <w:color w:val="auto"/>
        </w:rPr>
      </w:pPr>
    </w:p>
    <w:p>
      <w:pPr>
        <w:ind w:right="580" w:firstLine="582"/>
        <w:spacing w:after="0" w:line="334"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MOHAWK INDUSTRIES, INC.</w:t>
            </w:r>
          </w:p>
        </w:tc>
        <w:tc>
          <w:tcPr>
            <w:tcW w:w="2840" w:type="dxa"/>
            <w:vAlign w:val="bottom"/>
          </w:tcPr>
          <w:p>
            <w:pPr>
              <w:spacing w:after="0"/>
              <w:rPr>
                <w:sz w:val="16"/>
                <w:szCs w:val="16"/>
                <w:color w:val="auto"/>
              </w:rPr>
            </w:pPr>
          </w:p>
        </w:tc>
      </w:tr>
      <w:tr>
        <w:trPr>
          <w:trHeight w:val="222"/>
        </w:trPr>
        <w:tc>
          <w:tcPr>
            <w:tcW w:w="8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980" w:type="dxa"/>
            <w:vAlign w:val="bottom"/>
            <w:gridSpan w:val="2"/>
          </w:tcPr>
          <w:p>
            <w:pPr>
              <w:jc w:val="center"/>
              <w:ind w:right="2860"/>
              <w:spacing w:after="0"/>
              <w:rPr>
                <w:sz w:val="20"/>
                <w:szCs w:val="20"/>
                <w:color w:val="auto"/>
              </w:rPr>
            </w:pPr>
            <w:r>
              <w:rPr>
                <w:rFonts w:ascii="Times New Roman" w:cs="Times New Roman" w:eastAsia="Times New Roman" w:hAnsi="Times New Roman"/>
                <w:sz w:val="16"/>
                <w:szCs w:val="16"/>
                <w:color w:val="auto"/>
                <w:w w:val="99"/>
              </w:rPr>
              <w:t>(Registrant)</w:t>
            </w:r>
          </w:p>
        </w:tc>
      </w:tr>
      <w:tr>
        <w:trPr>
          <w:trHeight w:val="437"/>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Dated:</w:t>
            </w:r>
          </w:p>
        </w:tc>
        <w:tc>
          <w:tcPr>
            <w:tcW w:w="17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October 30, 2026</w:t>
            </w:r>
          </w:p>
        </w:tc>
        <w:tc>
          <w:tcPr>
            <w:tcW w:w="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By:</w:t>
            </w:r>
          </w:p>
        </w:tc>
        <w:tc>
          <w:tcPr>
            <w:tcW w:w="28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2"/>
          </w:tcPr>
          <w:p>
            <w:pPr>
              <w:jc w:val="center"/>
              <w:ind w:right="2860"/>
              <w:spacing w:after="0"/>
              <w:rPr>
                <w:sz w:val="20"/>
                <w:szCs w:val="20"/>
                <w:color w:val="auto"/>
              </w:rPr>
            </w:pPr>
            <w:r>
              <w:rPr>
                <w:rFonts w:ascii="Times New Roman" w:cs="Times New Roman" w:eastAsia="Times New Roman" w:hAnsi="Times New Roman"/>
                <w:sz w:val="16"/>
                <w:szCs w:val="16"/>
                <w:color w:val="auto"/>
                <w:w w:val="99"/>
              </w:rPr>
              <w:t>/s/ Paul F. De Cock</w:t>
            </w:r>
          </w:p>
        </w:tc>
      </w:tr>
      <w:tr>
        <w:trPr>
          <w:trHeight w:val="192"/>
        </w:trPr>
        <w:tc>
          <w:tcPr>
            <w:tcW w:w="8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980" w:type="dxa"/>
            <w:vAlign w:val="bottom"/>
            <w:gridSpan w:val="2"/>
          </w:tcPr>
          <w:p>
            <w:pPr>
              <w:jc w:val="center"/>
              <w:ind w:right="2860"/>
              <w:spacing w:after="0"/>
              <w:rPr>
                <w:sz w:val="20"/>
                <w:szCs w:val="20"/>
                <w:color w:val="auto"/>
              </w:rPr>
            </w:pPr>
            <w:r>
              <w:rPr>
                <w:rFonts w:ascii="Times New Roman" w:cs="Times New Roman" w:eastAsia="Times New Roman" w:hAnsi="Times New Roman"/>
                <w:sz w:val="16"/>
                <w:szCs w:val="16"/>
                <w:color w:val="auto"/>
                <w:w w:val="99"/>
              </w:rPr>
              <w:t>PAUL F. DE COCK</w:t>
            </w:r>
          </w:p>
        </w:tc>
      </w:tr>
      <w:tr>
        <w:trPr>
          <w:trHeight w:val="206"/>
        </w:trPr>
        <w:tc>
          <w:tcPr>
            <w:tcW w:w="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980" w:type="dxa"/>
            <w:vAlign w:val="bottom"/>
            <w:gridSpan w:val="2"/>
          </w:tcPr>
          <w:p>
            <w:pPr>
              <w:jc w:val="center"/>
              <w:ind w:right="286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r>
      <w:tr>
        <w:trPr>
          <w:trHeight w:val="212"/>
        </w:trPr>
        <w:tc>
          <w:tcPr>
            <w:tcW w:w="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80" w:type="dxa"/>
            <w:vAlign w:val="bottom"/>
            <w:gridSpan w:val="2"/>
          </w:tcPr>
          <w:p>
            <w:pPr>
              <w:jc w:val="center"/>
              <w:ind w:right="286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r>
      <w:tr>
        <w:trPr>
          <w:trHeight w:val="67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Dated:</w:t>
            </w:r>
          </w:p>
        </w:tc>
        <w:tc>
          <w:tcPr>
            <w:tcW w:w="17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October 30, 2026</w:t>
            </w:r>
          </w:p>
        </w:tc>
        <w:tc>
          <w:tcPr>
            <w:tcW w:w="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By:</w:t>
            </w:r>
          </w:p>
        </w:tc>
        <w:tc>
          <w:tcPr>
            <w:tcW w:w="28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2"/>
          </w:tcPr>
          <w:p>
            <w:pPr>
              <w:jc w:val="center"/>
              <w:ind w:right="2840"/>
              <w:spacing w:after="0"/>
              <w:rPr>
                <w:sz w:val="20"/>
                <w:szCs w:val="20"/>
                <w:color w:val="auto"/>
              </w:rPr>
            </w:pPr>
            <w:r>
              <w:rPr>
                <w:rFonts w:ascii="Times New Roman" w:cs="Times New Roman" w:eastAsia="Times New Roman" w:hAnsi="Times New Roman"/>
                <w:sz w:val="16"/>
                <w:szCs w:val="16"/>
                <w:color w:val="auto"/>
              </w:rPr>
              <w:t>/s/ Nicholas P. Manthey</w:t>
            </w:r>
          </w:p>
        </w:tc>
      </w:tr>
      <w:tr>
        <w:trPr>
          <w:trHeight w:val="192"/>
        </w:trPr>
        <w:tc>
          <w:tcPr>
            <w:tcW w:w="8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980" w:type="dxa"/>
            <w:vAlign w:val="bottom"/>
            <w:gridSpan w:val="2"/>
          </w:tcPr>
          <w:p>
            <w:pPr>
              <w:jc w:val="center"/>
              <w:ind w:right="2840"/>
              <w:spacing w:after="0"/>
              <w:rPr>
                <w:sz w:val="20"/>
                <w:szCs w:val="20"/>
                <w:color w:val="auto"/>
              </w:rPr>
            </w:pPr>
            <w:r>
              <w:rPr>
                <w:rFonts w:ascii="Times New Roman" w:cs="Times New Roman" w:eastAsia="Times New Roman" w:hAnsi="Times New Roman"/>
                <w:sz w:val="16"/>
                <w:szCs w:val="16"/>
                <w:color w:val="auto"/>
              </w:rPr>
              <w:t>NICHOLAS P. MANTHEY</w:t>
            </w:r>
          </w:p>
        </w:tc>
      </w:tr>
      <w:tr>
        <w:trPr>
          <w:trHeight w:val="206"/>
        </w:trPr>
        <w:tc>
          <w:tcPr>
            <w:tcW w:w="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980" w:type="dxa"/>
            <w:vAlign w:val="bottom"/>
            <w:gridSpan w:val="2"/>
          </w:tcPr>
          <w:p>
            <w:pPr>
              <w:jc w:val="center"/>
              <w:ind w:right="286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r>
      <w:tr>
        <w:trPr>
          <w:trHeight w:val="212"/>
        </w:trPr>
        <w:tc>
          <w:tcPr>
            <w:tcW w:w="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80" w:type="dxa"/>
            <w:vAlign w:val="bottom"/>
            <w:gridSpan w:val="2"/>
          </w:tcPr>
          <w:p>
            <w:pPr>
              <w:jc w:val="center"/>
              <w:ind w:right="284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11220"/>
          </w:cols>
          <w:pgMar w:left="320" w:top="135"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Certificate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Incentive Plan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 CERTIFICATE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Non-transferable</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GRANT TO</w:t>
      </w:r>
    </w:p>
    <w:p>
      <w:pPr>
        <w:spacing w:after="0" w:line="23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(“Grantee”)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Mohawk Industries, Inc. (the “Company”) of</w:t>
      </w:r>
    </w:p>
    <w:p>
      <w:pPr>
        <w:spacing w:after="0" w:line="21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[_____]</w:t>
      </w: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restricted stock units convertible into shares of Stock (the “Units”). The Units are granted pursuant to and subject to the provisions of the Mohawk Industries, Inc. 2026 Incentive Plan (the “Plan”) and to the terms and conditions set forth on the following pages (the “Terms and Conditions”). By accepting the Units, Grantee shall be deemed to have agreed to the Terms and Conditions and the Plan. Capitalized terms used herein and not otherwise defined shall have the meanings assigned to such terms in the Plan.</w:t>
      </w:r>
    </w:p>
    <w:p>
      <w:pPr>
        <w:spacing w:after="0" w:line="17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Unless vesting is accelerated as provided in Section 2 of the Terms and Conditions, the Units shall vest (become non-forfeitable) in accordance with the following schedule:</w:t>
      </w:r>
    </w:p>
    <w:p>
      <w:pPr>
        <w:spacing w:after="0" w:line="205" w:lineRule="exact"/>
        <w:rPr>
          <w:sz w:val="20"/>
          <w:szCs w:val="20"/>
          <w:color w:val="auto"/>
        </w:rPr>
      </w:pPr>
    </w:p>
    <w:p>
      <w:pPr>
        <w:ind w:left="3100"/>
        <w:spacing w:after="0"/>
        <w:tabs>
          <w:tab w:leader="none" w:pos="5100" w:val="left"/>
        </w:tabs>
        <w:rPr>
          <w:sz w:val="20"/>
          <w:szCs w:val="20"/>
          <w:color w:val="auto"/>
        </w:rPr>
      </w:pPr>
      <w:r>
        <w:rPr>
          <w:rFonts w:ascii="Times New Roman" w:cs="Times New Roman" w:eastAsia="Times New Roman" w:hAnsi="Times New Roman"/>
          <w:sz w:val="18"/>
          <w:szCs w:val="18"/>
          <w:color w:val="auto"/>
        </w:rPr>
        <w:t>Continuous Service</w:t>
      </w:r>
      <w:r>
        <w:rPr>
          <w:sz w:val="20"/>
          <w:szCs w:val="20"/>
          <w:color w:val="auto"/>
        </w:rPr>
        <w:tab/>
      </w:r>
      <w:r>
        <w:rPr>
          <w:rFonts w:ascii="Times New Roman" w:cs="Times New Roman" w:eastAsia="Times New Roman" w:hAnsi="Times New Roman"/>
          <w:sz w:val="17"/>
          <w:szCs w:val="17"/>
          <w:color w:val="auto"/>
        </w:rPr>
        <w:t>Percent of Units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Mohawk Industries, Inc., acting by and through its duly authorized officers, has caused this Certificate to be duly executed.</w:t>
      </w:r>
    </w:p>
    <w:p>
      <w:pPr>
        <w:spacing w:after="0" w:line="23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MOHAWK INDUSTRIES, INC.</w:t>
      </w:r>
    </w:p>
    <w:p>
      <w:pPr>
        <w:spacing w:after="0" w:line="21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-9525</wp:posOffset>
            </wp:positionV>
            <wp:extent cx="78994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89940" cy="7620"/>
                    </a:xfrm>
                    <a:prstGeom prst="rect">
                      <a:avLst/>
                    </a:prstGeom>
                    <a:noFill/>
                  </pic:spPr>
                </pic:pic>
              </a:graphicData>
            </a:graphic>
          </wp:anchor>
        </w:drawing>
      </w:r>
    </w:p>
    <w:p>
      <w:pPr>
        <w:spacing w:after="0" w:line="21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4224020</wp:posOffset>
            </wp:positionH>
            <wp:positionV relativeFrom="paragraph">
              <wp:posOffset>-9525</wp:posOffset>
            </wp:positionV>
            <wp:extent cx="67691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7691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158750</wp:posOffset>
            </wp:positionV>
            <wp:extent cx="69215" cy="692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9215" cy="6921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4" w:name="page45"/>
    <w:bookmarkEnd w:id="44"/>
    <w:p>
      <w:pPr>
        <w:ind w:left="3"/>
        <w:spacing w:after="0"/>
        <w:rPr>
          <w:sz w:val="20"/>
          <w:szCs w:val="20"/>
          <w:color w:val="auto"/>
        </w:rPr>
      </w:pPr>
      <w:r>
        <w:rPr>
          <w:rFonts w:ascii="Times New Roman" w:cs="Times New Roman" w:eastAsia="Times New Roman" w:hAnsi="Times New Roman"/>
          <w:sz w:val="17"/>
          <w:szCs w:val="17"/>
          <w:b w:val="1"/>
          <w:bCs w:val="1"/>
          <w:i w:val="1"/>
          <w:iCs w:val="1"/>
          <w:color w:val="auto"/>
        </w:rPr>
        <w:t>Employee Certificate</w:t>
      </w:r>
    </w:p>
    <w:p>
      <w:pPr>
        <w:spacing w:after="0" w:line="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2026 Incentive Plan</w:t>
      </w:r>
    </w:p>
    <w:p>
      <w:pPr>
        <w:sectPr>
          <w:pgSz w:w="11900" w:h="16838" w:orient="portrait"/>
          <w:cols w:equalWidth="0" w:num="1">
            <w:col w:w="11143"/>
          </w:cols>
          <w:pgMar w:left="317" w:top="116" w:right="4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5"/>
          <w:szCs w:val="15"/>
          <w:color w:val="auto"/>
        </w:rPr>
        <w:t>TERMS AND CONDITIONS</w:t>
      </w:r>
    </w:p>
    <w:p>
      <w:pPr>
        <w:spacing w:after="0" w:line="94" w:lineRule="exact"/>
        <w:rPr>
          <w:sz w:val="20"/>
          <w:szCs w:val="20"/>
          <w:color w:val="auto"/>
        </w:rPr>
      </w:pPr>
    </w:p>
    <w:p>
      <w:pPr>
        <w:jc w:val="both"/>
        <w:ind w:left="3" w:right="20" w:hanging="3"/>
        <w:spacing w:after="0" w:line="245" w:lineRule="auto"/>
        <w:tabs>
          <w:tab w:leader="none" w:pos="37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Grant of Units</w:t>
      </w:r>
      <w:r>
        <w:rPr>
          <w:rFonts w:ascii="Times New Roman" w:cs="Times New Roman" w:eastAsia="Times New Roman" w:hAnsi="Times New Roman"/>
          <w:sz w:val="15"/>
          <w:szCs w:val="15"/>
          <w:color w:val="auto"/>
        </w:rPr>
        <w:t xml:space="preserve">. The Company hereby grants to the Grantee named on page 1 hereof, subject to the restrictions and the terms and conditions set forth in the Plan and in this Certificate, the number of Units indicated on page 1 hereof which represent the right to receive an equal number of shares of the Company’s Stock on the terms set forth in this Certificate. </w:t>
      </w:r>
      <w:r>
        <w:rPr>
          <w:rFonts w:ascii="Times New Roman" w:cs="Times New Roman" w:eastAsia="Times New Roman" w:hAnsi="Times New Roman"/>
          <w:sz w:val="15"/>
          <w:szCs w:val="15"/>
          <w:b w:val="1"/>
          <w:bCs w:val="1"/>
          <w:i w:val="1"/>
          <w:iCs w:val="1"/>
          <w:color w:val="auto"/>
        </w:rPr>
        <w:t>Capitalized terms used herein and not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otherwise defined shall have the meanings assigned to such terms in the Plan.</w:t>
      </w:r>
    </w:p>
    <w:p>
      <w:pPr>
        <w:spacing w:after="0" w:line="88" w:lineRule="exact"/>
        <w:rPr>
          <w:rFonts w:ascii="Times New Roman" w:cs="Times New Roman" w:eastAsia="Times New Roman" w:hAnsi="Times New Roman"/>
          <w:sz w:val="15"/>
          <w:szCs w:val="15"/>
          <w:color w:val="auto"/>
        </w:rPr>
      </w:pPr>
    </w:p>
    <w:p>
      <w:pPr>
        <w:jc w:val="both"/>
        <w:ind w:left="3" w:right="20" w:hanging="3"/>
        <w:spacing w:after="0" w:line="249" w:lineRule="auto"/>
        <w:tabs>
          <w:tab w:leader="none" w:pos="355"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Vesting of Units</w:t>
      </w:r>
      <w:r>
        <w:rPr>
          <w:rFonts w:ascii="Times New Roman" w:cs="Times New Roman" w:eastAsia="Times New Roman" w:hAnsi="Times New Roman"/>
          <w:sz w:val="15"/>
          <w:szCs w:val="15"/>
          <w:color w:val="auto"/>
        </w:rPr>
        <w:t>. The Units have been credited to a bookkeeping account on behalf of Grantee. The Units will vest and become non-forfeitable on the earliest to occur of the following (each, a “Vesting Date”):</w:t>
      </w:r>
    </w:p>
    <w:p>
      <w:pPr>
        <w:spacing w:after="0" w:line="72" w:lineRule="exact"/>
        <w:rPr>
          <w:sz w:val="20"/>
          <w:szCs w:val="20"/>
          <w:color w:val="auto"/>
        </w:rPr>
      </w:pPr>
    </w:p>
    <w:p>
      <w:pPr>
        <w:jc w:val="both"/>
        <w:ind w:left="283" w:right="20" w:hanging="283"/>
        <w:spacing w:after="0" w:line="249" w:lineRule="auto"/>
        <w:tabs>
          <w:tab w:leader="none" w:pos="341"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the percentages of the Units specified on page 1 hereof, the respective Vesting Dates specified on page 1 hereof, provided Grantee is then still providing services to the Company or an Affiliate;</w:t>
      </w:r>
    </w:p>
    <w:p>
      <w:pPr>
        <w:spacing w:after="0" w:line="84" w:lineRule="exact"/>
        <w:rPr>
          <w:rFonts w:ascii="Times New Roman" w:cs="Times New Roman" w:eastAsia="Times New Roman" w:hAnsi="Times New Roman"/>
          <w:sz w:val="15"/>
          <w:szCs w:val="15"/>
          <w:color w:val="auto"/>
        </w:rPr>
      </w:pPr>
    </w:p>
    <w:p>
      <w:pPr>
        <w:ind w:left="283" w:right="20" w:hanging="283"/>
        <w:spacing w:after="0" w:line="260" w:lineRule="auto"/>
        <w:tabs>
          <w:tab w:leader="none" w:pos="415"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all of the Units, the termination of Grantee’s Continuous Service due to death or Disability;</w:t>
      </w:r>
    </w:p>
    <w:p>
      <w:pPr>
        <w:spacing w:after="0" w:line="74" w:lineRule="exact"/>
        <w:rPr>
          <w:rFonts w:ascii="Times New Roman" w:cs="Times New Roman" w:eastAsia="Times New Roman" w:hAnsi="Times New Roman"/>
          <w:sz w:val="15"/>
          <w:szCs w:val="15"/>
          <w:color w:val="auto"/>
        </w:rPr>
      </w:pPr>
    </w:p>
    <w:p>
      <w:pPr>
        <w:jc w:val="both"/>
        <w:ind w:left="283" w:right="20" w:hanging="283"/>
        <w:spacing w:after="0" w:line="249" w:lineRule="auto"/>
        <w:tabs>
          <w:tab w:leader="none" w:pos="367"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all of the Units, the occurrence of a Change in Control, if the Units are not assumed by the surviving entity or otherwise equitably converted or substituted in connection with the Change in Control; or</w:t>
      </w:r>
    </w:p>
    <w:p>
      <w:pPr>
        <w:spacing w:after="0" w:line="72" w:lineRule="exact"/>
        <w:rPr>
          <w:rFonts w:ascii="Times New Roman" w:cs="Times New Roman" w:eastAsia="Times New Roman" w:hAnsi="Times New Roman"/>
          <w:sz w:val="15"/>
          <w:szCs w:val="15"/>
          <w:color w:val="auto"/>
        </w:rPr>
      </w:pPr>
    </w:p>
    <w:p>
      <w:pPr>
        <w:jc w:val="both"/>
        <w:ind w:left="283" w:right="20" w:hanging="283"/>
        <w:spacing w:after="0" w:line="248" w:lineRule="auto"/>
        <w:tabs>
          <w:tab w:leader="none" w:pos="415"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all of the Units, the termination of Grantee’s Continuous Service without Cause (or Grantee’s resignation for Good Reason) within one year following the occurrence of a Change in Control, if the Units are assumed by the surviving entity or otherwise equitably converted or substituted in connection with the Change in Control.</w:t>
      </w:r>
    </w:p>
    <w:p>
      <w:pPr>
        <w:spacing w:after="0" w:line="74" w:lineRule="exact"/>
        <w:rPr>
          <w:sz w:val="20"/>
          <w:szCs w:val="20"/>
          <w:color w:val="auto"/>
        </w:rPr>
      </w:pPr>
    </w:p>
    <w:p>
      <w:pPr>
        <w:ind w:left="3" w:right="20"/>
        <w:spacing w:after="0" w:line="267" w:lineRule="auto"/>
        <w:rPr>
          <w:sz w:val="20"/>
          <w:szCs w:val="20"/>
          <w:color w:val="auto"/>
        </w:rPr>
      </w:pPr>
      <w:r>
        <w:rPr>
          <w:rFonts w:ascii="Times New Roman" w:cs="Times New Roman" w:eastAsia="Times New Roman" w:hAnsi="Times New Roman"/>
          <w:sz w:val="14"/>
          <w:szCs w:val="14"/>
          <w:color w:val="auto"/>
        </w:rPr>
        <w:t>If Grantee’s Continuous Service terminates prior to a Vesting Date for any reason other than as described in (b) or</w:t>
      </w:r>
    </w:p>
    <w:p>
      <w:pPr>
        <w:spacing w:after="0" w:line="1" w:lineRule="exact"/>
        <w:rPr>
          <w:sz w:val="20"/>
          <w:szCs w:val="20"/>
          <w:color w:val="auto"/>
        </w:rPr>
      </w:pPr>
    </w:p>
    <w:p>
      <w:pPr>
        <w:jc w:val="both"/>
        <w:ind w:left="3" w:hanging="3"/>
        <w:spacing w:after="0" w:line="243" w:lineRule="auto"/>
        <w:tabs>
          <w:tab w:leader="none" w:pos="238"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above or in Section 3 below, Grantee shall forfeit all right, title and interest in and to the then unvested Units as of the date of such termination and the unvested Units will be reconveyed to the Company without further consideration or any act or action by Grantee.</w:t>
      </w:r>
    </w:p>
    <w:p>
      <w:pPr>
        <w:spacing w:after="0" w:line="89" w:lineRule="exact"/>
        <w:rPr>
          <w:sz w:val="20"/>
          <w:szCs w:val="20"/>
          <w:color w:val="auto"/>
        </w:rPr>
      </w:pPr>
    </w:p>
    <w:p>
      <w:pPr>
        <w:jc w:val="both"/>
        <w:ind w:left="3" w:right="20" w:hanging="3"/>
        <w:spacing w:after="0" w:line="243" w:lineRule="auto"/>
        <w:tabs>
          <w:tab w:leader="none" w:pos="585"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Treatment Upon Retirement</w:t>
      </w:r>
      <w:r>
        <w:rPr>
          <w:rFonts w:ascii="Times New Roman" w:cs="Times New Roman" w:eastAsia="Times New Roman" w:hAnsi="Times New Roman"/>
          <w:sz w:val="15"/>
          <w:szCs w:val="15"/>
          <w:color w:val="auto"/>
        </w:rPr>
        <w:t>. Upon Grantee’s Retirement, the Units shall continue to vest as if Grantee’s Continuous Service had not terminated (in accordance with Section 2 above); provided, however, that if Grantee competes with the Company after his or her Retirement by being employed by, serving as a consultant for, owning or otherwise providing services for a floor covering company or other competitor of the Company, as determined in the sole discretion of the Committee, Grantee’s Units will cease to vest, any of his or her unvested Units shall terminate immediately, and any of his or her vested Units will be settled pursuant to their terms. For purposes of this Certificate,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jc w:val="both"/>
        <w:ind w:left="10"/>
        <w:spacing w:after="0" w:line="249" w:lineRule="auto"/>
        <w:rPr>
          <w:sz w:val="20"/>
          <w:szCs w:val="20"/>
          <w:color w:val="auto"/>
        </w:rPr>
      </w:pPr>
      <w:r>
        <w:rPr>
          <w:rFonts w:ascii="Times New Roman" w:cs="Times New Roman" w:eastAsia="Times New Roman" w:hAnsi="Times New Roman"/>
          <w:sz w:val="15"/>
          <w:szCs w:val="15"/>
          <w:color w:val="auto"/>
        </w:rPr>
        <w:t>“Retirement” means termination of employment (other than for Cause) with the Company, a Parent or Subsidiary after attaining age sixty (60) with at least ten (10) years of Continuous Service on the date of such termination.</w:t>
      </w:r>
    </w:p>
    <w:p>
      <w:pPr>
        <w:spacing w:after="0" w:line="72" w:lineRule="exact"/>
        <w:rPr>
          <w:sz w:val="20"/>
          <w:szCs w:val="20"/>
          <w:color w:val="auto"/>
        </w:rPr>
      </w:pPr>
    </w:p>
    <w:p>
      <w:pPr>
        <w:jc w:val="both"/>
        <w:ind w:left="10" w:hanging="10"/>
        <w:spacing w:after="0" w:line="245" w:lineRule="auto"/>
        <w:tabs>
          <w:tab w:leader="none" w:pos="264"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Conversion to Stock</w:t>
      </w:r>
      <w:r>
        <w:rPr>
          <w:rFonts w:ascii="Times New Roman" w:cs="Times New Roman" w:eastAsia="Times New Roman" w:hAnsi="Times New Roman"/>
          <w:sz w:val="15"/>
          <w:szCs w:val="15"/>
          <w:color w:val="auto"/>
        </w:rPr>
        <w:t>. Unless the Units are forfeited prior to the Vesting Date as provided in Sections 2 or 3 above, the Units will be converted to shares of Stock on (i) the Vesting Date, or (ii) the six-month anniversary of Grantee’s separation from service, if the Vesting Date occurs by reason of Section 2(d) and Grantee is a “specified employee” of the Company (as defined in Section 409A of Code) as of the date of his or her termination (in either case, the “Conversion Date”). Stock certificates evidencing the conversion of Units into shares of Stock will be registered on the books of the Company in Grantee’s name as of the Conversion Date and delivered to Grantee as soon as practical thereafter.</w:t>
      </w:r>
    </w:p>
    <w:p>
      <w:pPr>
        <w:spacing w:after="0" w:line="75" w:lineRule="exact"/>
        <w:rPr>
          <w:rFonts w:ascii="Times New Roman" w:cs="Times New Roman" w:eastAsia="Times New Roman" w:hAnsi="Times New Roman"/>
          <w:sz w:val="15"/>
          <w:szCs w:val="15"/>
          <w:color w:val="auto"/>
        </w:rPr>
      </w:pPr>
    </w:p>
    <w:p>
      <w:pPr>
        <w:jc w:val="both"/>
        <w:ind w:left="10" w:hanging="10"/>
        <w:spacing w:after="0" w:line="268" w:lineRule="auto"/>
        <w:tabs>
          <w:tab w:leader="none" w:pos="28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Rights as Stockholder</w:t>
      </w:r>
      <w:r>
        <w:rPr>
          <w:rFonts w:ascii="Times New Roman" w:cs="Times New Roman" w:eastAsia="Times New Roman" w:hAnsi="Times New Roman"/>
          <w:sz w:val="14"/>
          <w:szCs w:val="14"/>
          <w:color w:val="auto"/>
        </w:rPr>
        <w:t>. Grantee shall not have voting or any other rights as a stockholder of the Company with respect to the Units. Dividends or dividend equivalents will not be paid with respect to the Units. Upon conversion of the Units into shares of Stock, Grantee will obtain full voting and other rights as a stockholder of the Company.</w:t>
      </w:r>
    </w:p>
    <w:p>
      <w:pPr>
        <w:spacing w:after="0" w:line="73" w:lineRule="exact"/>
        <w:rPr>
          <w:rFonts w:ascii="Times New Roman" w:cs="Times New Roman" w:eastAsia="Times New Roman" w:hAnsi="Times New Roman"/>
          <w:sz w:val="14"/>
          <w:szCs w:val="14"/>
          <w:color w:val="auto"/>
        </w:rPr>
      </w:pPr>
    </w:p>
    <w:p>
      <w:pPr>
        <w:jc w:val="both"/>
        <w:ind w:left="10" w:hanging="10"/>
        <w:spacing w:after="0" w:line="261" w:lineRule="auto"/>
        <w:tabs>
          <w:tab w:leader="none" w:pos="27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Restrictions on Transfer</w:t>
      </w:r>
      <w:r>
        <w:rPr>
          <w:rFonts w:ascii="Times New Roman" w:cs="Times New Roman" w:eastAsia="Times New Roman" w:hAnsi="Times New Roman"/>
          <w:sz w:val="14"/>
          <w:szCs w:val="14"/>
          <w:color w:val="auto"/>
        </w:rPr>
        <w:t>. No right or interest of Grantee in the Units may be pledged, encumbered, or hypothecated to or in favor of any party other than the Company or an Affiliate, or shall be subject to any lien, obligation, or liability of Grantee to any other party other than the Company or an Affiliate. The Units are not assignable or transferable by Grantee other than to a beneficiary or by will or the laws of descent and distribution or pursuant to a domestic relations order that would satisfy Section 414(p)(1)</w:t>
      </w:r>
    </w:p>
    <w:p>
      <w:pPr>
        <w:spacing w:after="0" w:line="4" w:lineRule="exact"/>
        <w:rPr>
          <w:rFonts w:ascii="Times New Roman" w:cs="Times New Roman" w:eastAsia="Times New Roman" w:hAnsi="Times New Roman"/>
          <w:sz w:val="14"/>
          <w:szCs w:val="14"/>
          <w:color w:val="auto"/>
        </w:rPr>
      </w:pPr>
    </w:p>
    <w:p>
      <w:pPr>
        <w:ind w:left="1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(A) of the Code if such Section applied to the Units.</w:t>
      </w:r>
    </w:p>
    <w:p>
      <w:pPr>
        <w:spacing w:after="0" w:line="90" w:lineRule="exact"/>
        <w:rPr>
          <w:rFonts w:ascii="Times New Roman" w:cs="Times New Roman" w:eastAsia="Times New Roman" w:hAnsi="Times New Roman"/>
          <w:sz w:val="14"/>
          <w:szCs w:val="14"/>
          <w:color w:val="auto"/>
        </w:rPr>
      </w:pPr>
    </w:p>
    <w:p>
      <w:pPr>
        <w:jc w:val="both"/>
        <w:ind w:left="10" w:hanging="10"/>
        <w:spacing w:after="0" w:line="247" w:lineRule="auto"/>
        <w:tabs>
          <w:tab w:leader="none" w:pos="458"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Right of Continued Service</w:t>
      </w:r>
      <w:r>
        <w:rPr>
          <w:rFonts w:ascii="Times New Roman" w:cs="Times New Roman" w:eastAsia="Times New Roman" w:hAnsi="Times New Roman"/>
          <w:sz w:val="15"/>
          <w:szCs w:val="15"/>
          <w:color w:val="auto"/>
        </w:rPr>
        <w:t>. Nothing in this Certificate shall interfere with or limit in any way the right of the Company or any Affiliate to terminate Grantee’s service at any time, nor confer upon Grantee any right to continue in the employ of, or provide services to, the Company or any Affiliate.</w:t>
      </w:r>
    </w:p>
    <w:p>
      <w:pPr>
        <w:spacing w:after="0" w:line="74" w:lineRule="exact"/>
        <w:rPr>
          <w:rFonts w:ascii="Times New Roman" w:cs="Times New Roman" w:eastAsia="Times New Roman" w:hAnsi="Times New Roman"/>
          <w:sz w:val="15"/>
          <w:szCs w:val="15"/>
          <w:color w:val="auto"/>
        </w:rPr>
      </w:pPr>
    </w:p>
    <w:p>
      <w:pPr>
        <w:jc w:val="both"/>
        <w:ind w:left="10" w:hanging="10"/>
        <w:spacing w:after="0" w:line="263" w:lineRule="auto"/>
        <w:tabs>
          <w:tab w:leader="none" w:pos="41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 of Taxes</w:t>
      </w:r>
      <w:r>
        <w:rPr>
          <w:rFonts w:ascii="Times New Roman" w:cs="Times New Roman" w:eastAsia="Times New Roman" w:hAnsi="Times New Roman"/>
          <w:sz w:val="14"/>
          <w:szCs w:val="14"/>
          <w:color w:val="auto"/>
        </w:rPr>
        <w:t>. The Company or any Affiliate employing Grantee has the authority and the right to deduct or withhold, or require Grantee to remit to the employer, an amount sufficient to satisfy federal, state, and local taxes (including Grantee’s FICA obligation) required by law to be withheld with respect to any taxable event arising as a result of the vesting or settlement of the Units. The withholding requirement may be satisfied by withholding from the settlement of the Units Shares having a fair market value on the date of withholding equal to the amount required to be withheld in accordance with applicable tax requirements, all in accordance with such procedures as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Committee establishes. The obligations of the Company under this Certificate will be conditional on such payment or arrangements, and the Company, and, where applicable, its Affiliates will, to the extent permitted by law, have the right to deduct any such taxes from any payment of any kind otherwise due to Grantee.</w:t>
      </w:r>
    </w:p>
    <w:p>
      <w:pPr>
        <w:spacing w:after="0" w:line="75" w:lineRule="exact"/>
        <w:rPr>
          <w:sz w:val="20"/>
          <w:szCs w:val="20"/>
          <w:color w:val="auto"/>
        </w:rPr>
      </w:pPr>
    </w:p>
    <w:p>
      <w:pPr>
        <w:jc w:val="both"/>
        <w:ind w:firstLine="3"/>
        <w:spacing w:after="0" w:line="269" w:lineRule="auto"/>
        <w:tabs>
          <w:tab w:leader="none" w:pos="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The Committee may amend, modify or terminate this Certificate without approval of Grantee; provided, however, that such amendment, modification or termination shall not, without Grantee’s consent, reduce or diminish the value of this award determined as if it had been fully vested (i.e., as if all restrictions on the Units hereunder had expired) on the date of such amendment or termination.</w:t>
      </w:r>
    </w:p>
    <w:p>
      <w:pPr>
        <w:spacing w:after="0" w:line="58" w:lineRule="exact"/>
        <w:rPr>
          <w:rFonts w:ascii="Times New Roman" w:cs="Times New Roman" w:eastAsia="Times New Roman" w:hAnsi="Times New Roman"/>
          <w:sz w:val="14"/>
          <w:szCs w:val="14"/>
          <w:color w:val="auto"/>
        </w:rPr>
      </w:pPr>
    </w:p>
    <w:p>
      <w:pPr>
        <w:jc w:val="both"/>
        <w:ind w:firstLine="3"/>
        <w:spacing w:after="0" w:line="245" w:lineRule="auto"/>
        <w:tabs>
          <w:tab w:leader="none" w:pos="425"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Plan Controls</w:t>
      </w:r>
      <w:r>
        <w:rPr>
          <w:rFonts w:ascii="Times New Roman" w:cs="Times New Roman" w:eastAsia="Times New Roman" w:hAnsi="Times New Roman"/>
          <w:sz w:val="15"/>
          <w:szCs w:val="15"/>
          <w:color w:val="auto"/>
        </w:rPr>
        <w:t>. The terms contained in the Plan are incorporated into and made a part of this Certificate and this Certificate shall be governed by and construed in accordance with the Plan. In the event of any actual or alleged conflict between the provisions of the Plan and the provisions of this Certificate, the provisions of the Plan shall be controlling and determinative.</w:t>
      </w:r>
    </w:p>
    <w:p>
      <w:pPr>
        <w:spacing w:after="0" w:line="89" w:lineRule="exact"/>
        <w:rPr>
          <w:rFonts w:ascii="Times New Roman" w:cs="Times New Roman" w:eastAsia="Times New Roman" w:hAnsi="Times New Roman"/>
          <w:sz w:val="15"/>
          <w:szCs w:val="15"/>
          <w:color w:val="auto"/>
        </w:rPr>
      </w:pPr>
    </w:p>
    <w:p>
      <w:pPr>
        <w:jc w:val="both"/>
        <w:ind w:firstLine="3"/>
        <w:spacing w:after="0" w:line="248" w:lineRule="auto"/>
        <w:tabs>
          <w:tab w:leader="none" w:pos="346"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Successors</w:t>
      </w:r>
      <w:r>
        <w:rPr>
          <w:rFonts w:ascii="Times New Roman" w:cs="Times New Roman" w:eastAsia="Times New Roman" w:hAnsi="Times New Roman"/>
          <w:sz w:val="15"/>
          <w:szCs w:val="15"/>
          <w:color w:val="auto"/>
        </w:rPr>
        <w:t>. This Certificate shall be binding upon any successor of the Company, in accordance with the terms of this Certificate and the Plan.</w:t>
      </w:r>
    </w:p>
    <w:p>
      <w:pPr>
        <w:spacing w:after="0" w:line="83" w:lineRule="exact"/>
        <w:rPr>
          <w:rFonts w:ascii="Times New Roman" w:cs="Times New Roman" w:eastAsia="Times New Roman" w:hAnsi="Times New Roman"/>
          <w:sz w:val="15"/>
          <w:szCs w:val="15"/>
          <w:color w:val="auto"/>
        </w:rPr>
      </w:pPr>
    </w:p>
    <w:p>
      <w:pPr>
        <w:jc w:val="both"/>
        <w:ind w:firstLine="3"/>
        <w:spacing w:after="0" w:line="246" w:lineRule="auto"/>
        <w:tabs>
          <w:tab w:leader="none" w:pos="437"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 If any one or more of the provisions contained in this Certificate are invalid, illegal or unenforceable, the other provisions of this Certificate will be construed and enforced as if the invalid, illegal or unenforceable provision had never been included.</w:t>
      </w:r>
    </w:p>
    <w:p>
      <w:pPr>
        <w:spacing w:after="0" w:line="86" w:lineRule="exact"/>
        <w:rPr>
          <w:rFonts w:ascii="Times New Roman" w:cs="Times New Roman" w:eastAsia="Times New Roman" w:hAnsi="Times New Roman"/>
          <w:sz w:val="15"/>
          <w:szCs w:val="15"/>
          <w:color w:val="auto"/>
        </w:rPr>
      </w:pPr>
    </w:p>
    <w:p>
      <w:pPr>
        <w:jc w:val="both"/>
        <w:ind w:firstLine="3"/>
        <w:spacing w:after="0" w:line="245" w:lineRule="auto"/>
        <w:tabs>
          <w:tab w:leader="none" w:pos="582"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Interpretation</w:t>
      </w:r>
      <w:r>
        <w:rPr>
          <w:rFonts w:ascii="Times New Roman" w:cs="Times New Roman" w:eastAsia="Times New Roman" w:hAnsi="Times New Roman"/>
          <w:sz w:val="15"/>
          <w:szCs w:val="15"/>
          <w:color w:val="auto"/>
        </w:rPr>
        <w:t>. The headings contained in this Certificate are for reference purposes only and shall not affect in any way the meaning or interpretation of this Award Certificate. The language in all parts of this Certificate shall in all cases be construed according to its fair meaning, and not strictly for or against any party hereto. In this Certificate, unless the context otherwise requires, the masculine, feminine and neutral genders and the singular and the plural include one another.</w:t>
      </w:r>
    </w:p>
    <w:p>
      <w:pPr>
        <w:spacing w:after="0" w:line="76" w:lineRule="exact"/>
        <w:rPr>
          <w:rFonts w:ascii="Times New Roman" w:cs="Times New Roman" w:eastAsia="Times New Roman" w:hAnsi="Times New Roman"/>
          <w:sz w:val="15"/>
          <w:szCs w:val="15"/>
          <w:color w:val="auto"/>
        </w:rPr>
      </w:pPr>
    </w:p>
    <w:p>
      <w:pPr>
        <w:jc w:val="both"/>
        <w:ind w:firstLine="3"/>
        <w:spacing w:after="0" w:line="283" w:lineRule="auto"/>
        <w:tabs>
          <w:tab w:leader="none" w:pos="57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Clawback</w:t>
      </w:r>
      <w:r>
        <w:rPr>
          <w:rFonts w:ascii="Times New Roman" w:cs="Times New Roman" w:eastAsia="Times New Roman" w:hAnsi="Times New Roman"/>
          <w:sz w:val="14"/>
          <w:szCs w:val="14"/>
          <w:color w:val="auto"/>
        </w:rPr>
        <w:t>. The Units shall be subject to the compensation recoupment policy of the Company that is applicable by its terms to Grantee and to awards of this type.</w:t>
      </w:r>
    </w:p>
    <w:p>
      <w:pPr>
        <w:spacing w:after="0" w:line="48" w:lineRule="exact"/>
        <w:rPr>
          <w:rFonts w:ascii="Times New Roman" w:cs="Times New Roman" w:eastAsia="Times New Roman" w:hAnsi="Times New Roman"/>
          <w:sz w:val="14"/>
          <w:szCs w:val="14"/>
          <w:color w:val="auto"/>
        </w:rPr>
      </w:pPr>
    </w:p>
    <w:p>
      <w:pPr>
        <w:jc w:val="both"/>
        <w:ind w:firstLine="3"/>
        <w:spacing w:after="0" w:line="245" w:lineRule="auto"/>
        <w:tabs>
          <w:tab w:leader="none" w:pos="522"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w:t>
      </w:r>
      <w:r>
        <w:rPr>
          <w:rFonts w:ascii="Times New Roman" w:cs="Times New Roman" w:eastAsia="Times New Roman" w:hAnsi="Times New Roman"/>
          <w:sz w:val="15"/>
          <w:szCs w:val="15"/>
          <w:color w:val="auto"/>
        </w:rPr>
        <w:t>. Notices and communications under this Certificate must be in writing and either personally delivered or sent by registered or certified United States mail, return receipt requested, postage prepaid. Notices to the Company must be addressed to: Mohawk Industries, Inc., 160 S Industrial Blvd, PO Box 12069, Calhoun, GA 30701, Attn: Secretary, or any other address designated by the Company in a written notice to Grantee. Notices to Grantee will be directed to the address of Grantee then currently on file with the Company, or at any other address given by Grantee in a written notice to the Company.</w:t>
      </w:r>
    </w:p>
    <w:p>
      <w:pPr>
        <w:sectPr>
          <w:pgSz w:w="11900" w:h="16838" w:orient="portrait"/>
          <w:cols w:equalWidth="0" w:num="3">
            <w:col w:w="3563" w:space="230"/>
            <w:col w:w="3550" w:space="240"/>
            <w:col w:w="3560"/>
          </w:cols>
          <w:pgMar w:left="317" w:top="116" w:right="439" w:bottom="1440" w:gutter="0" w:footer="0" w:header="0"/>
          <w:type w:val="continuous"/>
        </w:sectPr>
      </w:pPr>
    </w:p>
    <w:bookmarkStart w:id="45" w:name="page46"/>
    <w:bookmarkEnd w:id="45"/>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Paul F. De Cock, certify that:</w:t>
      </w:r>
    </w:p>
    <w:p>
      <w:pPr>
        <w:spacing w:after="0" w:line="204" w:lineRule="exact"/>
        <w:rPr>
          <w:sz w:val="20"/>
          <w:szCs w:val="20"/>
          <w:color w:val="auto"/>
        </w:rPr>
      </w:pPr>
    </w:p>
    <w:p>
      <w:pPr>
        <w:ind w:left="720" w:hanging="707"/>
        <w:spacing w:after="0"/>
        <w:tabs>
          <w:tab w:leader="none" w:pos="7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Mohawk Industries, Inc.;</w:t>
      </w:r>
    </w:p>
    <w:p>
      <w:pPr>
        <w:spacing w:after="0" w:line="26" w:lineRule="exact"/>
        <w:rPr>
          <w:sz w:val="20"/>
          <w:szCs w:val="20"/>
          <w:color w:val="auto"/>
        </w:rPr>
      </w:pPr>
    </w:p>
    <w:p>
      <w:pPr>
        <w:ind w:left="720" w:right="400" w:hanging="707"/>
        <w:spacing w:after="0" w:line="237" w:lineRule="auto"/>
        <w:tabs>
          <w:tab w:leader="none" w:pos="7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sz w:val="20"/>
          <w:szCs w:val="20"/>
          <w:color w:val="auto"/>
        </w:rPr>
      </w:pPr>
    </w:p>
    <w:p>
      <w:pPr>
        <w:ind w:left="720" w:right="500" w:hanging="707"/>
        <w:spacing w:after="0" w:line="239" w:lineRule="auto"/>
        <w:tabs>
          <w:tab w:leader="none" w:pos="7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sz w:val="20"/>
          <w:szCs w:val="20"/>
          <w:color w:val="auto"/>
        </w:rPr>
      </w:pPr>
    </w:p>
    <w:p>
      <w:pPr>
        <w:jc w:val="both"/>
        <w:ind w:left="720" w:right="300" w:hanging="707"/>
        <w:spacing w:after="0" w:line="233" w:lineRule="auto"/>
        <w:tabs>
          <w:tab w:leader="none" w:pos="7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6"/>
          <w:szCs w:val="16"/>
          <w:color w:val="auto"/>
        </w:rPr>
      </w:pPr>
    </w:p>
    <w:p>
      <w:pPr>
        <w:ind w:left="720" w:right="140" w:hanging="392"/>
        <w:spacing w:after="0" w:line="232" w:lineRule="auto"/>
        <w:tabs>
          <w:tab w:leader="none" w:pos="72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720" w:right="100" w:hanging="392"/>
        <w:spacing w:after="0" w:line="232" w:lineRule="auto"/>
        <w:tabs>
          <w:tab w:leader="none" w:pos="72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720" w:right="520" w:hanging="392"/>
        <w:spacing w:after="0" w:line="237" w:lineRule="auto"/>
        <w:tabs>
          <w:tab w:leader="none" w:pos="72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Times New Roman" w:cs="Times New Roman" w:eastAsia="Times New Roman" w:hAnsi="Times New Roman"/>
          <w:sz w:val="16"/>
          <w:szCs w:val="16"/>
          <w:color w:val="auto"/>
        </w:rPr>
      </w:pPr>
    </w:p>
    <w:p>
      <w:pPr>
        <w:ind w:left="720" w:right="180" w:hanging="392"/>
        <w:spacing w:after="0" w:line="233" w:lineRule="auto"/>
        <w:tabs>
          <w:tab w:leader="none" w:pos="72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sz w:val="20"/>
          <w:szCs w:val="20"/>
          <w:color w:val="auto"/>
        </w:rPr>
      </w:pPr>
    </w:p>
    <w:p>
      <w:pPr>
        <w:ind w:left="720" w:right="260" w:hanging="707"/>
        <w:spacing w:after="0" w:line="237" w:lineRule="auto"/>
        <w:tabs>
          <w:tab w:leader="none" w:pos="7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rFonts w:ascii="Times New Roman" w:cs="Times New Roman" w:eastAsia="Times New Roman" w:hAnsi="Times New Roman"/>
          <w:sz w:val="16"/>
          <w:szCs w:val="16"/>
          <w:color w:val="auto"/>
        </w:rPr>
      </w:pPr>
    </w:p>
    <w:p>
      <w:pPr>
        <w:ind w:left="720" w:right="700" w:hanging="392"/>
        <w:spacing w:after="0" w:line="239" w:lineRule="auto"/>
        <w:tabs>
          <w:tab w:leader="none" w:pos="72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6"/>
          <w:szCs w:val="16"/>
          <w:color w:val="auto"/>
        </w:rPr>
      </w:pPr>
    </w:p>
    <w:p>
      <w:pPr>
        <w:ind w:left="720" w:right="300" w:hanging="392"/>
        <w:spacing w:after="0" w:line="239" w:lineRule="auto"/>
        <w:tabs>
          <w:tab w:leader="none" w:pos="72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October 30, 2026</w:t>
      </w:r>
    </w:p>
    <w:p>
      <w:pPr>
        <w:spacing w:after="0" w:line="13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/s/ Paul F. De 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259524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595245" cy="7620"/>
                    </a:xfrm>
                    <a:prstGeom prst="rect">
                      <a:avLst/>
                    </a:prstGeom>
                    <a:noFill/>
                  </pic:spPr>
                </pic:pic>
              </a:graphicData>
            </a:graphic>
          </wp:anchor>
        </w:drawing>
      </w:r>
    </w:p>
    <w:p>
      <w:pPr>
        <w:spacing w:after="0" w:line="12" w:lineRule="exact"/>
        <w:rPr>
          <w:sz w:val="20"/>
          <w:szCs w:val="20"/>
          <w:color w:val="auto"/>
        </w:rPr>
      </w:pPr>
    </w:p>
    <w:p>
      <w:pPr>
        <w:jc w:val="center"/>
        <w:ind w:right="7180"/>
        <w:spacing w:after="0"/>
        <w:rPr>
          <w:sz w:val="20"/>
          <w:szCs w:val="20"/>
          <w:color w:val="auto"/>
        </w:rPr>
      </w:pPr>
      <w:r>
        <w:rPr>
          <w:rFonts w:ascii="Times New Roman" w:cs="Times New Roman" w:eastAsia="Times New Roman" w:hAnsi="Times New Roman"/>
          <w:sz w:val="16"/>
          <w:szCs w:val="16"/>
          <w:b w:val="1"/>
          <w:bCs w:val="1"/>
          <w:color w:val="auto"/>
        </w:rPr>
        <w:t>Paul F. De Cock</w:t>
      </w:r>
    </w:p>
    <w:p>
      <w:pPr>
        <w:spacing w:after="0" w:line="28" w:lineRule="exact"/>
        <w:rPr>
          <w:sz w:val="20"/>
          <w:szCs w:val="20"/>
          <w:color w:val="auto"/>
        </w:rPr>
      </w:pPr>
    </w:p>
    <w:p>
      <w:pPr>
        <w:jc w:val="center"/>
        <w:ind w:right="7180"/>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ectPr>
          <w:pgSz w:w="11900" w:h="16838" w:orient="portrait"/>
          <w:cols w:equalWidth="0" w:num="1">
            <w:col w:w="11260"/>
          </w:cols>
          <w:pgMar w:left="320" w:top="812" w:right="31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Nicholas P. Manthey, certify that:</w:t>
      </w:r>
    </w:p>
    <w:p>
      <w:pPr>
        <w:spacing w:after="0" w:line="204" w:lineRule="exact"/>
        <w:rPr>
          <w:sz w:val="20"/>
          <w:szCs w:val="20"/>
          <w:color w:val="auto"/>
        </w:rPr>
      </w:pPr>
    </w:p>
    <w:p>
      <w:pPr>
        <w:ind w:left="720" w:hanging="707"/>
        <w:spacing w:after="0"/>
        <w:tabs>
          <w:tab w:leader="none" w:pos="7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Mohawk Industries, Inc.;</w:t>
      </w:r>
    </w:p>
    <w:p>
      <w:pPr>
        <w:spacing w:after="0" w:line="26" w:lineRule="exact"/>
        <w:rPr>
          <w:sz w:val="20"/>
          <w:szCs w:val="20"/>
          <w:color w:val="auto"/>
        </w:rPr>
      </w:pPr>
    </w:p>
    <w:p>
      <w:pPr>
        <w:ind w:left="720" w:right="400" w:hanging="707"/>
        <w:spacing w:after="0" w:line="237" w:lineRule="auto"/>
        <w:tabs>
          <w:tab w:leader="none" w:pos="7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sz w:val="20"/>
          <w:szCs w:val="20"/>
          <w:color w:val="auto"/>
        </w:rPr>
      </w:pPr>
    </w:p>
    <w:p>
      <w:pPr>
        <w:ind w:left="720" w:right="500" w:hanging="707"/>
        <w:spacing w:after="0" w:line="239" w:lineRule="auto"/>
        <w:tabs>
          <w:tab w:leader="none" w:pos="7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sz w:val="20"/>
          <w:szCs w:val="20"/>
          <w:color w:val="auto"/>
        </w:rPr>
      </w:pPr>
    </w:p>
    <w:p>
      <w:pPr>
        <w:jc w:val="both"/>
        <w:ind w:left="720" w:right="300" w:hanging="707"/>
        <w:spacing w:after="0" w:line="233" w:lineRule="auto"/>
        <w:tabs>
          <w:tab w:leader="none" w:pos="7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6"/>
          <w:szCs w:val="16"/>
          <w:color w:val="auto"/>
        </w:rPr>
      </w:pPr>
    </w:p>
    <w:p>
      <w:pPr>
        <w:ind w:left="720" w:right="140" w:hanging="392"/>
        <w:spacing w:after="0" w:line="232" w:lineRule="auto"/>
        <w:tabs>
          <w:tab w:leader="none" w:pos="72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720" w:right="100" w:hanging="392"/>
        <w:spacing w:after="0" w:line="232" w:lineRule="auto"/>
        <w:tabs>
          <w:tab w:leader="none" w:pos="72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720" w:right="520" w:hanging="392"/>
        <w:spacing w:after="0" w:line="237" w:lineRule="auto"/>
        <w:tabs>
          <w:tab w:leader="none" w:pos="72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Times New Roman" w:cs="Times New Roman" w:eastAsia="Times New Roman" w:hAnsi="Times New Roman"/>
          <w:sz w:val="16"/>
          <w:szCs w:val="16"/>
          <w:color w:val="auto"/>
        </w:rPr>
      </w:pPr>
    </w:p>
    <w:p>
      <w:pPr>
        <w:ind w:left="720" w:right="180" w:hanging="392"/>
        <w:spacing w:after="0" w:line="233" w:lineRule="auto"/>
        <w:tabs>
          <w:tab w:leader="none" w:pos="72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sz w:val="20"/>
          <w:szCs w:val="20"/>
          <w:color w:val="auto"/>
        </w:rPr>
      </w:pPr>
    </w:p>
    <w:p>
      <w:pPr>
        <w:ind w:left="720" w:right="260" w:hanging="707"/>
        <w:spacing w:after="0" w:line="237" w:lineRule="auto"/>
        <w:tabs>
          <w:tab w:leader="none" w:pos="7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rFonts w:ascii="Times New Roman" w:cs="Times New Roman" w:eastAsia="Times New Roman" w:hAnsi="Times New Roman"/>
          <w:sz w:val="16"/>
          <w:szCs w:val="16"/>
          <w:color w:val="auto"/>
        </w:rPr>
      </w:pPr>
    </w:p>
    <w:p>
      <w:pPr>
        <w:ind w:left="720" w:right="700" w:hanging="392"/>
        <w:spacing w:after="0" w:line="239" w:lineRule="auto"/>
        <w:tabs>
          <w:tab w:leader="none" w:pos="72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6"/>
          <w:szCs w:val="16"/>
          <w:color w:val="auto"/>
        </w:rPr>
      </w:pPr>
    </w:p>
    <w:p>
      <w:pPr>
        <w:ind w:left="720" w:right="300" w:hanging="392"/>
        <w:spacing w:after="0" w:line="239" w:lineRule="auto"/>
        <w:tabs>
          <w:tab w:leader="none" w:pos="72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October 30, 2026</w:t>
      </w:r>
    </w:p>
    <w:p>
      <w:pPr>
        <w:spacing w:after="0" w:line="1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/s/ Nicholas P. Manthey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259524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595245" cy="7620"/>
                    </a:xfrm>
                    <a:prstGeom prst="rect">
                      <a:avLst/>
                    </a:prstGeom>
                    <a:noFill/>
                  </pic:spPr>
                </pic:pic>
              </a:graphicData>
            </a:graphic>
          </wp:anchor>
        </w:drawing>
      </w:r>
    </w:p>
    <w:p>
      <w:pPr>
        <w:spacing w:after="0" w:line="12" w:lineRule="exact"/>
        <w:rPr>
          <w:sz w:val="20"/>
          <w:szCs w:val="20"/>
          <w:color w:val="auto"/>
        </w:rPr>
      </w:pPr>
    </w:p>
    <w:p>
      <w:pPr>
        <w:jc w:val="center"/>
        <w:ind w:right="7180"/>
        <w:spacing w:after="0"/>
        <w:rPr>
          <w:sz w:val="20"/>
          <w:szCs w:val="20"/>
          <w:color w:val="auto"/>
        </w:rPr>
      </w:pPr>
      <w:r>
        <w:rPr>
          <w:rFonts w:ascii="Times New Roman" w:cs="Times New Roman" w:eastAsia="Times New Roman" w:hAnsi="Times New Roman"/>
          <w:sz w:val="16"/>
          <w:szCs w:val="16"/>
          <w:b w:val="1"/>
          <w:bCs w:val="1"/>
          <w:color w:val="auto"/>
        </w:rPr>
        <w:t>Nicholas P. Manthey</w:t>
      </w:r>
    </w:p>
    <w:p>
      <w:pPr>
        <w:spacing w:after="0" w:line="28" w:lineRule="exact"/>
        <w:rPr>
          <w:sz w:val="20"/>
          <w:szCs w:val="20"/>
          <w:color w:val="auto"/>
        </w:rPr>
      </w:pPr>
    </w:p>
    <w:p>
      <w:pPr>
        <w:jc w:val="center"/>
        <w:ind w:right="7180"/>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ectPr>
          <w:pgSz w:w="11900" w:h="16838" w:orient="portrait"/>
          <w:cols w:equalWidth="0" w:num="1">
            <w:col w:w="11260"/>
          </w:cols>
          <w:pgMar w:left="320" w:top="812" w:right="31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Statement of Chief Executive Officer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MOHAWK INDUSTRIES,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Pursuant to 18 U.S.C. Section 1350,</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906 of the Sarbanes-Oxley Act of 2002</w:t>
      </w:r>
    </w:p>
    <w:p>
      <w:pPr>
        <w:spacing w:after="0" w:line="140" w:lineRule="exact"/>
        <w:rPr>
          <w:sz w:val="20"/>
          <w:szCs w:val="20"/>
          <w:color w:val="auto"/>
        </w:rPr>
      </w:pPr>
    </w:p>
    <w:p>
      <w:pPr>
        <w:ind w:right="120" w:firstLine="400"/>
        <w:spacing w:after="0" w:line="270" w:lineRule="auto"/>
        <w:rPr>
          <w:sz w:val="20"/>
          <w:szCs w:val="20"/>
          <w:color w:val="auto"/>
        </w:rPr>
      </w:pPr>
      <w:r>
        <w:rPr>
          <w:rFonts w:ascii="Times New Roman" w:cs="Times New Roman" w:eastAsia="Times New Roman" w:hAnsi="Times New Roman"/>
          <w:sz w:val="16"/>
          <w:szCs w:val="16"/>
          <w:color w:val="auto"/>
        </w:rPr>
        <w:t>In connection with the quarterly report of Mohawk Industries, Inc. (the “Company”) on Form 10-Q for the period ended October 3, 2026 as filed with the Securities and Exchange Commission on the date hereof (the “Report”), I, Paul F. De Cock, Chief Executive Officer of the Company, certify, pursuant to 18 U.S.C. § 1350, as adopted pursuant to § 906 of the Sarbanes-Oxley Act of 2002, that, based on my knowledge:</w:t>
      </w:r>
    </w:p>
    <w:p>
      <w:pPr>
        <w:spacing w:after="0" w:line="192" w:lineRule="exact"/>
        <w:rPr>
          <w:sz w:val="20"/>
          <w:szCs w:val="20"/>
          <w:color w:val="auto"/>
        </w:rPr>
      </w:pPr>
    </w:p>
    <w:p>
      <w:pPr>
        <w:ind w:left="1860" w:hanging="355"/>
        <w:spacing w:after="0"/>
        <w:tabs>
          <w:tab w:leader="none" w:pos="1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34" w:lineRule="exact"/>
        <w:rPr>
          <w:sz w:val="20"/>
          <w:szCs w:val="20"/>
          <w:color w:val="auto"/>
        </w:rPr>
      </w:pPr>
    </w:p>
    <w:p>
      <w:pPr>
        <w:ind w:left="1860" w:right="1840" w:hanging="355"/>
        <w:spacing w:after="0" w:line="239" w:lineRule="auto"/>
        <w:tabs>
          <w:tab w:leader="none" w:pos="18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3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/s/ Paul F. De 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259524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595245" cy="7620"/>
                    </a:xfrm>
                    <a:prstGeom prst="rect">
                      <a:avLst/>
                    </a:prstGeom>
                    <a:noFill/>
                  </pic:spPr>
                </pic:pic>
              </a:graphicData>
            </a:graphic>
          </wp:anchor>
        </w:drawing>
      </w:r>
    </w:p>
    <w:p>
      <w:pPr>
        <w:spacing w:after="0" w:line="1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b w:val="1"/>
          <w:bCs w:val="1"/>
          <w:color w:val="auto"/>
        </w:rPr>
        <w:t>Paul F. De Cock</w:t>
      </w:r>
    </w:p>
    <w:p>
      <w:pPr>
        <w:spacing w:after="0" w:line="2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30, 2026</w:t>
      </w:r>
    </w:p>
    <w:p>
      <w:pPr>
        <w:sectPr>
          <w:pgSz w:w="11900" w:h="16838" w:orient="portrait"/>
          <w:cols w:equalWidth="0" w:num="1">
            <w:col w:w="11260"/>
          </w:cols>
          <w:pgMar w:left="320" w:top="812" w:right="31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Statement of Chief Financial Officer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MOHAWK INDUSTRIES,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Pursuant to 18 U.S.C. Section 1350,</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906 of the Sarbanes-Oxley Act of 2002</w:t>
      </w:r>
    </w:p>
    <w:p>
      <w:pPr>
        <w:spacing w:after="0" w:line="140" w:lineRule="exact"/>
        <w:rPr>
          <w:sz w:val="20"/>
          <w:szCs w:val="20"/>
          <w:color w:val="auto"/>
        </w:rPr>
      </w:pPr>
    </w:p>
    <w:p>
      <w:pPr>
        <w:ind w:right="260" w:firstLine="400"/>
        <w:spacing w:after="0" w:line="270" w:lineRule="auto"/>
        <w:rPr>
          <w:sz w:val="20"/>
          <w:szCs w:val="20"/>
          <w:color w:val="auto"/>
        </w:rPr>
      </w:pPr>
      <w:r>
        <w:rPr>
          <w:rFonts w:ascii="Times New Roman" w:cs="Times New Roman" w:eastAsia="Times New Roman" w:hAnsi="Times New Roman"/>
          <w:sz w:val="16"/>
          <w:szCs w:val="16"/>
          <w:color w:val="auto"/>
        </w:rPr>
        <w:t>In connection with the quarterly report of Mohawk Industries, Inc. (the “Company”) on Form 10-Q for the period ended October 3, 2026 as filed with the Securities and Exchange Commission on the date hereof (the “Report”), I, Nicholas P. Manthey, Chief Financial Officer of the Company, certify, pursuant to 18 U.S.C. § 1350, as adopted pursuant to § 906 of the Sarbanes-Oxley Act of 2002, that, based on my knowledge:</w:t>
      </w:r>
    </w:p>
    <w:p>
      <w:pPr>
        <w:spacing w:after="0" w:line="192" w:lineRule="exact"/>
        <w:rPr>
          <w:sz w:val="20"/>
          <w:szCs w:val="20"/>
          <w:color w:val="auto"/>
        </w:rPr>
      </w:pPr>
    </w:p>
    <w:p>
      <w:pPr>
        <w:ind w:left="1860" w:hanging="355"/>
        <w:spacing w:after="0"/>
        <w:tabs>
          <w:tab w:leader="none" w:pos="1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34" w:lineRule="exact"/>
        <w:rPr>
          <w:sz w:val="20"/>
          <w:szCs w:val="20"/>
          <w:color w:val="auto"/>
        </w:rPr>
      </w:pPr>
    </w:p>
    <w:p>
      <w:pPr>
        <w:ind w:left="1860" w:right="1840" w:hanging="355"/>
        <w:spacing w:after="0" w:line="239" w:lineRule="auto"/>
        <w:tabs>
          <w:tab w:leader="none" w:pos="18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/s/ Nicholas P. Manthey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259524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595245" cy="7620"/>
                    </a:xfrm>
                    <a:prstGeom prst="rect">
                      <a:avLst/>
                    </a:prstGeom>
                    <a:noFill/>
                  </pic:spPr>
                </pic:pic>
              </a:graphicData>
            </a:graphic>
          </wp:anchor>
        </w:drawing>
      </w:r>
    </w:p>
    <w:p>
      <w:pPr>
        <w:spacing w:after="0" w:line="1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b w:val="1"/>
          <w:bCs w:val="1"/>
          <w:color w:val="auto"/>
        </w:rPr>
        <w:t>Nicholas P. Manthey</w:t>
      </w:r>
    </w:p>
    <w:p>
      <w:pPr>
        <w:spacing w:after="0" w:line="2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30, 2026</w:t>
      </w:r>
    </w:p>
    <w:p>
      <w:pPr>
        <w:sectPr>
          <w:pgSz w:w="11900" w:h="16838" w:orient="portrait"/>
          <w:cols w:equalWidth="0" w:num="1">
            <w:col w:w="11260"/>
          </w:cols>
          <w:pgMar w:left="320" w:top="812" w:right="31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6"/>
          <w:szCs w:val="16"/>
          <w:b w:val="1"/>
          <w:bCs w:val="1"/>
          <w:color w:val="auto"/>
        </w:rPr>
        <w:t>Exhibit 95.1</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Mine Safety Disclosure</w:t>
      </w:r>
    </w:p>
    <w:p>
      <w:pPr>
        <w:spacing w:after="0" w:line="23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5"/>
          <w:szCs w:val="15"/>
          <w:color w:val="auto"/>
        </w:rPr>
        <w:t>The following disclosures are provided pursuant to Section 1503(a) of the Dodd-Frank Wall Street Reform and Consumer Protection Act (the “Act”) and Item 104 of Regulation S-K, which requires certain disclosures by companies required to file periodic reports under the Securities Exchange Act of 1934, as amended, that operate mines regulated under the Federal Mine Safety and Health Act of 1977 (the “Mine Act”).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Mine Safety Information</w:t>
      </w:r>
    </w:p>
    <w:p>
      <w:pPr>
        <w:spacing w:after="0" w:line="22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5"/>
          <w:szCs w:val="15"/>
          <w:color w:val="auto"/>
        </w:rPr>
        <w:t>Whenever the Federal Mine Safety and Health Administration (“MSHA”) believes a violation of the Mine Act, any health or safety standard or any regulation has occurred, it may issue a citation which describes the alleged violation and fixes a time within which the U.S. mining operator must abate the alleged violation. In some situations, such as when MSHA believes that conditions pose a hazard to miners, MSHA may issue an order removing miners from the area of the mine affected by the condition until the alleged hazards are corrected. When MSHA issues a citation or order, it generally proposes a civil penalty, or fine, as a result of the alleged violation, that the operator is ordered to pay. Citations and orders can be contested and appealed, and as part of that process, may be reduced in severity and amount, and are sometimes dismissed. The number of citations, orders and proposed assessments vary depending on the size and type (underground or surface) of the mine as well as by the MSHA inspector(s) assigned.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includes information required by the Act for the nine months ended October 3, 2026.</w:t>
      </w:r>
    </w:p>
    <w:p>
      <w:pPr>
        <w:spacing w:after="0" w:line="26" w:lineRule="exact"/>
        <w:rPr>
          <w:sz w:val="20"/>
          <w:szCs w:val="20"/>
          <w:color w:val="auto"/>
        </w:rPr>
      </w:pPr>
    </w:p>
    <w:tbl>
      <w:tblPr>
        <w:tblLayout w:type="fixed"/>
        <w:tblInd w:w="50" w:type="dxa"/>
        <w:tblCellMar>
          <w:top w:w="0" w:type="dxa"/>
          <w:left w:w="0" w:type="dxa"/>
          <w:bottom w:w="0" w:type="dxa"/>
          <w:right w:w="0" w:type="dxa"/>
        </w:tblCellMar>
      </w:tblPr>
      <w:tr>
        <w:trPr>
          <w:trHeight w:val="121"/>
        </w:trPr>
        <w:tc>
          <w:tcPr>
            <w:tcW w:w="1120" w:type="dxa"/>
            <w:vAlign w:val="bottom"/>
            <w:tcBorders>
              <w:top w:val="single" w:sz="8" w:color="auto"/>
              <w:left w:val="single" w:sz="8" w:color="auto"/>
              <w:right w:val="single" w:sz="8" w:color="auto"/>
            </w:tcBorders>
            <w:shd w:val="clear" w:color="auto" w:fill="DBE5F1"/>
          </w:tcPr>
          <w:p>
            <w:pPr>
              <w:spacing w:after="0"/>
              <w:rPr>
                <w:sz w:val="10"/>
                <w:szCs w:val="10"/>
                <w:color w:val="auto"/>
              </w:rPr>
            </w:pPr>
          </w:p>
        </w:tc>
        <w:tc>
          <w:tcPr>
            <w:tcW w:w="900" w:type="dxa"/>
            <w:vAlign w:val="bottom"/>
            <w:tcBorders>
              <w:top w:val="single" w:sz="8" w:color="auto"/>
              <w:right w:val="single" w:sz="8" w:color="auto"/>
            </w:tcBorders>
            <w:shd w:val="clear" w:color="auto" w:fill="DBE5F1"/>
          </w:tcPr>
          <w:p>
            <w:pPr>
              <w:spacing w:after="0"/>
              <w:rPr>
                <w:sz w:val="10"/>
                <w:szCs w:val="10"/>
                <w:color w:val="auto"/>
              </w:rPr>
            </w:pPr>
          </w:p>
        </w:tc>
        <w:tc>
          <w:tcPr>
            <w:tcW w:w="740" w:type="dxa"/>
            <w:vAlign w:val="bottom"/>
            <w:tcBorders>
              <w:top w:val="single" w:sz="8" w:color="auto"/>
              <w:right w:val="single" w:sz="8" w:color="auto"/>
            </w:tcBorders>
            <w:shd w:val="clear" w:color="auto" w:fill="DBE5F1"/>
          </w:tcPr>
          <w:p>
            <w:pPr>
              <w:spacing w:after="0"/>
              <w:rPr>
                <w:sz w:val="10"/>
                <w:szCs w:val="10"/>
                <w:color w:val="auto"/>
              </w:rPr>
            </w:pPr>
          </w:p>
        </w:tc>
        <w:tc>
          <w:tcPr>
            <w:tcW w:w="1020" w:type="dxa"/>
            <w:vAlign w:val="bottom"/>
            <w:tcBorders>
              <w:top w:val="single" w:sz="8" w:color="auto"/>
              <w:right w:val="single" w:sz="8" w:color="auto"/>
            </w:tcBorders>
            <w:shd w:val="clear" w:color="auto" w:fill="DBE5F1"/>
          </w:tcPr>
          <w:p>
            <w:pPr>
              <w:spacing w:after="0"/>
              <w:rPr>
                <w:sz w:val="10"/>
                <w:szCs w:val="10"/>
                <w:color w:val="auto"/>
              </w:rPr>
            </w:pPr>
          </w:p>
        </w:tc>
        <w:tc>
          <w:tcPr>
            <w:tcW w:w="840" w:type="dxa"/>
            <w:vAlign w:val="bottom"/>
            <w:tcBorders>
              <w:top w:val="single" w:sz="8" w:color="auto"/>
              <w:right w:val="single" w:sz="8" w:color="auto"/>
            </w:tcBorders>
            <w:shd w:val="clear" w:color="auto" w:fill="DBE5F1"/>
          </w:tcPr>
          <w:p>
            <w:pPr>
              <w:spacing w:after="0"/>
              <w:rPr>
                <w:sz w:val="10"/>
                <w:szCs w:val="10"/>
                <w:color w:val="auto"/>
              </w:rPr>
            </w:pPr>
          </w:p>
        </w:tc>
        <w:tc>
          <w:tcPr>
            <w:tcW w:w="940" w:type="dxa"/>
            <w:vAlign w:val="bottom"/>
            <w:tcBorders>
              <w:top w:val="single" w:sz="8" w:color="auto"/>
              <w:right w:val="single" w:sz="8" w:color="auto"/>
            </w:tcBorders>
            <w:shd w:val="clear" w:color="auto" w:fill="DBE5F1"/>
          </w:tcPr>
          <w:p>
            <w:pPr>
              <w:spacing w:after="0"/>
              <w:rPr>
                <w:sz w:val="10"/>
                <w:szCs w:val="10"/>
                <w:color w:val="auto"/>
              </w:rPr>
            </w:pPr>
          </w:p>
        </w:tc>
        <w:tc>
          <w:tcPr>
            <w:tcW w:w="940" w:type="dxa"/>
            <w:vAlign w:val="bottom"/>
            <w:tcBorders>
              <w:top w:val="single" w:sz="8" w:color="auto"/>
              <w:right w:val="single" w:sz="8" w:color="auto"/>
            </w:tcBorders>
            <w:shd w:val="clear" w:color="auto" w:fill="DBE5F1"/>
          </w:tcPr>
          <w:p>
            <w:pPr>
              <w:spacing w:after="0"/>
              <w:rPr>
                <w:sz w:val="10"/>
                <w:szCs w:val="10"/>
                <w:color w:val="auto"/>
              </w:rPr>
            </w:pPr>
          </w:p>
        </w:tc>
        <w:tc>
          <w:tcPr>
            <w:tcW w:w="940" w:type="dxa"/>
            <w:vAlign w:val="bottom"/>
            <w:tcBorders>
              <w:top w:val="single" w:sz="8" w:color="auto"/>
              <w:right w:val="single" w:sz="8" w:color="auto"/>
            </w:tcBorders>
            <w:shd w:val="clear" w:color="auto" w:fill="DBE5F1"/>
          </w:tcPr>
          <w:p>
            <w:pPr>
              <w:spacing w:after="0"/>
              <w:rPr>
                <w:sz w:val="10"/>
                <w:szCs w:val="10"/>
                <w:color w:val="auto"/>
              </w:rPr>
            </w:pPr>
          </w:p>
        </w:tc>
        <w:tc>
          <w:tcPr>
            <w:tcW w:w="920" w:type="dxa"/>
            <w:vAlign w:val="bottom"/>
            <w:tcBorders>
              <w:top w:val="single" w:sz="8" w:color="auto"/>
              <w:right w:val="single" w:sz="8" w:color="auto"/>
            </w:tcBorders>
            <w:shd w:val="clear" w:color="auto" w:fill="DBE5F1"/>
          </w:tcPr>
          <w:p>
            <w:pPr>
              <w:spacing w:after="0"/>
              <w:rPr>
                <w:sz w:val="10"/>
                <w:szCs w:val="10"/>
                <w:color w:val="auto"/>
              </w:rPr>
            </w:pPr>
          </w:p>
        </w:tc>
        <w:tc>
          <w:tcPr>
            <w:tcW w:w="960" w:type="dxa"/>
            <w:vAlign w:val="bottom"/>
            <w:tcBorders>
              <w:top w:val="single" w:sz="8" w:color="auto"/>
              <w:right w:val="single" w:sz="8" w:color="auto"/>
            </w:tcBorders>
            <w:shd w:val="clear" w:color="auto" w:fill="DBE5F1"/>
          </w:tcPr>
          <w:p>
            <w:pPr>
              <w:spacing w:after="0"/>
              <w:rPr>
                <w:sz w:val="10"/>
                <w:szCs w:val="10"/>
                <w:color w:val="auto"/>
              </w:rPr>
            </w:pPr>
          </w:p>
        </w:tc>
        <w:tc>
          <w:tcPr>
            <w:tcW w:w="940" w:type="dxa"/>
            <w:vAlign w:val="bottom"/>
            <w:tcBorders>
              <w:top w:val="single" w:sz="8" w:color="auto"/>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1"/>
                <w:szCs w:val="11"/>
                <w:color w:val="auto"/>
              </w:rPr>
              <w:t>Total # of Legal</w:t>
            </w:r>
          </w:p>
        </w:tc>
        <w:tc>
          <w:tcPr>
            <w:tcW w:w="940" w:type="dxa"/>
            <w:vAlign w:val="bottom"/>
            <w:tcBorders>
              <w:top w:val="single" w:sz="8" w:color="auto"/>
              <w:right w:val="single" w:sz="8" w:color="auto"/>
            </w:tcBorders>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120" w:type="dxa"/>
            <w:vAlign w:val="bottom"/>
            <w:tcBorders>
              <w:left w:val="single" w:sz="8" w:color="auto"/>
              <w:right w:val="single" w:sz="8" w:color="auto"/>
            </w:tcBorders>
            <w:shd w:val="clear" w:color="auto" w:fill="DBE5F1"/>
          </w:tcPr>
          <w:p>
            <w:pPr>
              <w:spacing w:after="0"/>
              <w:rPr>
                <w:sz w:val="9"/>
                <w:szCs w:val="9"/>
                <w:color w:val="auto"/>
              </w:rPr>
            </w:pPr>
          </w:p>
        </w:tc>
        <w:tc>
          <w:tcPr>
            <w:tcW w:w="900" w:type="dxa"/>
            <w:vAlign w:val="bottom"/>
            <w:tcBorders>
              <w:right w:val="single" w:sz="8" w:color="auto"/>
            </w:tcBorders>
            <w:shd w:val="clear" w:color="auto" w:fill="DBE5F1"/>
          </w:tcPr>
          <w:p>
            <w:pPr>
              <w:spacing w:after="0"/>
              <w:rPr>
                <w:sz w:val="9"/>
                <w:szCs w:val="9"/>
                <w:color w:val="auto"/>
              </w:rPr>
            </w:pPr>
          </w:p>
        </w:tc>
        <w:tc>
          <w:tcPr>
            <w:tcW w:w="740" w:type="dxa"/>
            <w:vAlign w:val="bottom"/>
            <w:tcBorders>
              <w:right w:val="single" w:sz="8" w:color="auto"/>
            </w:tcBorders>
            <w:shd w:val="clear" w:color="auto" w:fill="DBE5F1"/>
          </w:tcPr>
          <w:p>
            <w:pPr>
              <w:spacing w:after="0"/>
              <w:rPr>
                <w:sz w:val="9"/>
                <w:szCs w:val="9"/>
                <w:color w:val="auto"/>
              </w:rPr>
            </w:pPr>
          </w:p>
        </w:tc>
        <w:tc>
          <w:tcPr>
            <w:tcW w:w="1020" w:type="dxa"/>
            <w:vAlign w:val="bottom"/>
            <w:tcBorders>
              <w:right w:val="single" w:sz="8" w:color="auto"/>
            </w:tcBorders>
            <w:shd w:val="clear" w:color="auto" w:fill="DBE5F1"/>
          </w:tcPr>
          <w:p>
            <w:pPr>
              <w:spacing w:after="0"/>
              <w:rPr>
                <w:sz w:val="9"/>
                <w:szCs w:val="9"/>
                <w:color w:val="auto"/>
              </w:rPr>
            </w:pPr>
          </w:p>
        </w:tc>
        <w:tc>
          <w:tcPr>
            <w:tcW w:w="840" w:type="dxa"/>
            <w:vAlign w:val="bottom"/>
            <w:tcBorders>
              <w:right w:val="single" w:sz="8" w:color="auto"/>
            </w:tcBorders>
            <w:shd w:val="clear" w:color="auto" w:fill="DBE5F1"/>
          </w:tcPr>
          <w:p>
            <w:pPr>
              <w:spacing w:after="0"/>
              <w:rPr>
                <w:sz w:val="9"/>
                <w:szCs w:val="9"/>
                <w:color w:val="auto"/>
              </w:rPr>
            </w:pPr>
          </w:p>
        </w:tc>
        <w:tc>
          <w:tcPr>
            <w:tcW w:w="940" w:type="dxa"/>
            <w:vAlign w:val="bottom"/>
            <w:tcBorders>
              <w:right w:val="single" w:sz="8" w:color="auto"/>
            </w:tcBorders>
            <w:shd w:val="clear" w:color="auto" w:fill="DBE5F1"/>
          </w:tcPr>
          <w:p>
            <w:pPr>
              <w:spacing w:after="0"/>
              <w:rPr>
                <w:sz w:val="9"/>
                <w:szCs w:val="9"/>
                <w:color w:val="auto"/>
              </w:rPr>
            </w:pPr>
          </w:p>
        </w:tc>
        <w:tc>
          <w:tcPr>
            <w:tcW w:w="940" w:type="dxa"/>
            <w:vAlign w:val="bottom"/>
            <w:tcBorders>
              <w:right w:val="single" w:sz="8" w:color="auto"/>
            </w:tcBorders>
            <w:shd w:val="clear" w:color="auto" w:fill="DBE5F1"/>
          </w:tcPr>
          <w:p>
            <w:pPr>
              <w:spacing w:after="0"/>
              <w:rPr>
                <w:sz w:val="9"/>
                <w:szCs w:val="9"/>
                <w:color w:val="auto"/>
              </w:rPr>
            </w:pPr>
          </w:p>
        </w:tc>
        <w:tc>
          <w:tcPr>
            <w:tcW w:w="940" w:type="dxa"/>
            <w:vAlign w:val="bottom"/>
            <w:tcBorders>
              <w:right w:val="single" w:sz="8" w:color="auto"/>
            </w:tcBorders>
            <w:shd w:val="clear" w:color="auto" w:fill="DBE5F1"/>
          </w:tcPr>
          <w:p>
            <w:pPr>
              <w:spacing w:after="0"/>
              <w:rPr>
                <w:sz w:val="9"/>
                <w:szCs w:val="9"/>
                <w:color w:val="auto"/>
              </w:rPr>
            </w:pPr>
          </w:p>
        </w:tc>
        <w:tc>
          <w:tcPr>
            <w:tcW w:w="920" w:type="dxa"/>
            <w:vAlign w:val="bottom"/>
            <w:tcBorders>
              <w:right w:val="single" w:sz="8" w:color="auto"/>
            </w:tcBorders>
            <w:shd w:val="clear" w:color="auto" w:fill="DBE5F1"/>
          </w:tcPr>
          <w:p>
            <w:pPr>
              <w:spacing w:after="0"/>
              <w:rPr>
                <w:sz w:val="9"/>
                <w:szCs w:val="9"/>
                <w:color w:val="auto"/>
              </w:rPr>
            </w:pPr>
          </w:p>
        </w:tc>
        <w:tc>
          <w:tcPr>
            <w:tcW w:w="960" w:type="dxa"/>
            <w:vAlign w:val="bottom"/>
            <w:tcBorders>
              <w:right w:val="single" w:sz="8" w:color="auto"/>
            </w:tcBorders>
            <w:shd w:val="clear" w:color="auto" w:fill="DBE5F1"/>
          </w:tcPr>
          <w:p>
            <w:pPr>
              <w:spacing w:after="0"/>
              <w:rPr>
                <w:sz w:val="9"/>
                <w:szCs w:val="9"/>
                <w:color w:val="auto"/>
              </w:rPr>
            </w:pPr>
          </w:p>
        </w:tc>
        <w:tc>
          <w:tcPr>
            <w:tcW w:w="940" w:type="dxa"/>
            <w:vAlign w:val="bottom"/>
            <w:tcBorders>
              <w:right w:val="single" w:sz="8" w:color="auto"/>
            </w:tcBorders>
            <w:shd w:val="clear" w:color="auto" w:fill="DBE5F1"/>
          </w:tcPr>
          <w:p>
            <w:pPr>
              <w:jc w:val="center"/>
              <w:spacing w:after="0" w:line="110" w:lineRule="exact"/>
              <w:rPr>
                <w:sz w:val="20"/>
                <w:szCs w:val="20"/>
                <w:color w:val="auto"/>
              </w:rPr>
            </w:pPr>
            <w:r>
              <w:rPr>
                <w:rFonts w:ascii="Times New Roman" w:cs="Times New Roman" w:eastAsia="Times New Roman" w:hAnsi="Times New Roman"/>
                <w:sz w:val="11"/>
                <w:szCs w:val="11"/>
                <w:color w:val="auto"/>
              </w:rPr>
              <w:t>Actions Pending</w:t>
            </w:r>
          </w:p>
        </w:tc>
        <w:tc>
          <w:tcPr>
            <w:tcW w:w="940" w:type="dxa"/>
            <w:vAlign w:val="bottom"/>
            <w:tcBorders>
              <w:right w:val="single" w:sz="8" w:color="auto"/>
            </w:tcBorders>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120" w:type="dxa"/>
            <w:vAlign w:val="bottom"/>
            <w:tcBorders>
              <w:left w:val="single" w:sz="8" w:color="auto"/>
              <w:right w:val="single" w:sz="8" w:color="auto"/>
            </w:tcBorders>
            <w:shd w:val="clear" w:color="auto" w:fill="DBE5F1"/>
          </w:tcPr>
          <w:p>
            <w:pPr>
              <w:spacing w:after="0"/>
              <w:rPr>
                <w:sz w:val="10"/>
                <w:szCs w:val="10"/>
                <w:color w:val="auto"/>
              </w:rPr>
            </w:pPr>
          </w:p>
        </w:tc>
        <w:tc>
          <w:tcPr>
            <w:tcW w:w="900" w:type="dxa"/>
            <w:vAlign w:val="bottom"/>
            <w:tcBorders>
              <w:right w:val="single" w:sz="8" w:color="auto"/>
            </w:tcBorders>
            <w:shd w:val="clear" w:color="auto" w:fill="DBE5F1"/>
          </w:tcPr>
          <w:p>
            <w:pPr>
              <w:spacing w:after="0"/>
              <w:rPr>
                <w:sz w:val="10"/>
                <w:szCs w:val="10"/>
                <w:color w:val="auto"/>
              </w:rPr>
            </w:pPr>
          </w:p>
        </w:tc>
        <w:tc>
          <w:tcPr>
            <w:tcW w:w="740" w:type="dxa"/>
            <w:vAlign w:val="bottom"/>
            <w:tcBorders>
              <w:right w:val="single" w:sz="8" w:color="auto"/>
            </w:tcBorders>
            <w:shd w:val="clear" w:color="auto" w:fill="DBE5F1"/>
          </w:tcPr>
          <w:p>
            <w:pPr>
              <w:spacing w:after="0"/>
              <w:rPr>
                <w:sz w:val="10"/>
                <w:szCs w:val="10"/>
                <w:color w:val="auto"/>
              </w:rPr>
            </w:pPr>
          </w:p>
        </w:tc>
        <w:tc>
          <w:tcPr>
            <w:tcW w:w="1020" w:type="dxa"/>
            <w:vAlign w:val="bottom"/>
            <w:tcBorders>
              <w:right w:val="single" w:sz="8" w:color="auto"/>
            </w:tcBorders>
            <w:shd w:val="clear" w:color="auto" w:fill="DBE5F1"/>
          </w:tcPr>
          <w:p>
            <w:pPr>
              <w:spacing w:after="0"/>
              <w:rPr>
                <w:sz w:val="10"/>
                <w:szCs w:val="10"/>
                <w:color w:val="auto"/>
              </w:rPr>
            </w:pPr>
          </w:p>
        </w:tc>
        <w:tc>
          <w:tcPr>
            <w:tcW w:w="840" w:type="dxa"/>
            <w:vAlign w:val="bottom"/>
            <w:tcBorders>
              <w:right w:val="single" w:sz="8" w:color="auto"/>
            </w:tcBorders>
            <w:shd w:val="clear" w:color="auto" w:fill="DBE5F1"/>
          </w:tcPr>
          <w:p>
            <w:pPr>
              <w:spacing w:after="0"/>
              <w:rPr>
                <w:sz w:val="10"/>
                <w:szCs w:val="10"/>
                <w:color w:val="auto"/>
              </w:rPr>
            </w:pPr>
          </w:p>
        </w:tc>
        <w:tc>
          <w:tcPr>
            <w:tcW w:w="940" w:type="dxa"/>
            <w:vAlign w:val="bottom"/>
            <w:tcBorders>
              <w:right w:val="single" w:sz="8" w:color="auto"/>
            </w:tcBorders>
            <w:shd w:val="clear" w:color="auto" w:fill="DBE5F1"/>
          </w:tcPr>
          <w:p>
            <w:pPr>
              <w:spacing w:after="0"/>
              <w:rPr>
                <w:sz w:val="10"/>
                <w:szCs w:val="10"/>
                <w:color w:val="auto"/>
              </w:rPr>
            </w:pPr>
          </w:p>
        </w:tc>
        <w:tc>
          <w:tcPr>
            <w:tcW w:w="940" w:type="dxa"/>
            <w:vAlign w:val="bottom"/>
            <w:tcBorders>
              <w:right w:val="single" w:sz="8" w:color="auto"/>
            </w:tcBorders>
            <w:shd w:val="clear" w:color="auto" w:fill="DBE5F1"/>
          </w:tcPr>
          <w:p>
            <w:pPr>
              <w:spacing w:after="0"/>
              <w:rPr>
                <w:sz w:val="10"/>
                <w:szCs w:val="10"/>
                <w:color w:val="auto"/>
              </w:rPr>
            </w:pPr>
          </w:p>
        </w:tc>
        <w:tc>
          <w:tcPr>
            <w:tcW w:w="940" w:type="dxa"/>
            <w:vAlign w:val="bottom"/>
            <w:tcBorders>
              <w:right w:val="single" w:sz="8" w:color="auto"/>
            </w:tcBorders>
            <w:shd w:val="clear" w:color="auto" w:fill="DBE5F1"/>
          </w:tcPr>
          <w:p>
            <w:pPr>
              <w:spacing w:after="0"/>
              <w:rPr>
                <w:sz w:val="10"/>
                <w:szCs w:val="10"/>
                <w:color w:val="auto"/>
              </w:rPr>
            </w:pPr>
          </w:p>
        </w:tc>
        <w:tc>
          <w:tcPr>
            <w:tcW w:w="920" w:type="dxa"/>
            <w:vAlign w:val="bottom"/>
            <w:tcBorders>
              <w:right w:val="single" w:sz="8" w:color="auto"/>
            </w:tcBorders>
            <w:shd w:val="clear" w:color="auto" w:fill="DBE5F1"/>
          </w:tcPr>
          <w:p>
            <w:pPr>
              <w:spacing w:after="0"/>
              <w:rPr>
                <w:sz w:val="10"/>
                <w:szCs w:val="10"/>
                <w:color w:val="auto"/>
              </w:rPr>
            </w:pPr>
          </w:p>
        </w:tc>
        <w:tc>
          <w:tcPr>
            <w:tcW w:w="960" w:type="dxa"/>
            <w:vAlign w:val="bottom"/>
            <w:tcBorders>
              <w:right w:val="single" w:sz="8" w:color="auto"/>
            </w:tcBorders>
            <w:shd w:val="clear" w:color="auto" w:fill="DBE5F1"/>
          </w:tcPr>
          <w:p>
            <w:pPr>
              <w:spacing w:after="0"/>
              <w:rPr>
                <w:sz w:val="10"/>
                <w:szCs w:val="10"/>
                <w:color w:val="auto"/>
              </w:rPr>
            </w:pPr>
          </w:p>
        </w:tc>
        <w:tc>
          <w:tcPr>
            <w:tcW w:w="940" w:type="dxa"/>
            <w:vAlign w:val="bottom"/>
            <w:tcBorders>
              <w:right w:val="single" w:sz="8" w:color="auto"/>
            </w:tcBorders>
            <w:shd w:val="clear" w:color="auto" w:fill="DBE5F1"/>
          </w:tcPr>
          <w:p>
            <w:pPr>
              <w:jc w:val="center"/>
              <w:spacing w:after="0" w:line="118" w:lineRule="exact"/>
              <w:rPr>
                <w:sz w:val="20"/>
                <w:szCs w:val="20"/>
                <w:color w:val="auto"/>
              </w:rPr>
            </w:pPr>
            <w:r>
              <w:rPr>
                <w:rFonts w:ascii="Times New Roman" w:cs="Times New Roman" w:eastAsia="Times New Roman" w:hAnsi="Times New Roman"/>
                <w:sz w:val="11"/>
                <w:szCs w:val="11"/>
                <w:color w:val="auto"/>
              </w:rPr>
              <w:t>with the Mine</w:t>
            </w:r>
          </w:p>
        </w:tc>
        <w:tc>
          <w:tcPr>
            <w:tcW w:w="940" w:type="dxa"/>
            <w:vAlign w:val="bottom"/>
            <w:tcBorders>
              <w:right w:val="single" w:sz="8" w:color="auto"/>
            </w:tcBorders>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120" w:type="dxa"/>
            <w:vAlign w:val="bottom"/>
            <w:tcBorders>
              <w:left w:val="single" w:sz="8" w:color="auto"/>
              <w:right w:val="single" w:sz="8" w:color="auto"/>
            </w:tcBorders>
            <w:shd w:val="clear" w:color="auto" w:fill="DBE5F1"/>
          </w:tcPr>
          <w:p>
            <w:pPr>
              <w:jc w:val="center"/>
              <w:spacing w:after="0" w:line="113" w:lineRule="exact"/>
              <w:rPr>
                <w:sz w:val="20"/>
                <w:szCs w:val="20"/>
                <w:color w:val="auto"/>
              </w:rPr>
            </w:pPr>
            <w:r>
              <w:rPr>
                <w:rFonts w:ascii="Times New Roman" w:cs="Times New Roman" w:eastAsia="Times New Roman" w:hAnsi="Times New Roman"/>
                <w:sz w:val="11"/>
                <w:szCs w:val="11"/>
                <w:color w:val="auto"/>
              </w:rPr>
              <w:t>Mine</w:t>
            </w:r>
          </w:p>
        </w:tc>
        <w:tc>
          <w:tcPr>
            <w:tcW w:w="900" w:type="dxa"/>
            <w:vAlign w:val="bottom"/>
            <w:tcBorders>
              <w:right w:val="single" w:sz="8" w:color="auto"/>
            </w:tcBorders>
            <w:shd w:val="clear" w:color="auto" w:fill="DBE5F1"/>
          </w:tcPr>
          <w:p>
            <w:pPr>
              <w:jc w:val="center"/>
              <w:spacing w:after="0" w:line="113" w:lineRule="exact"/>
              <w:rPr>
                <w:sz w:val="20"/>
                <w:szCs w:val="20"/>
                <w:color w:val="auto"/>
              </w:rPr>
            </w:pPr>
            <w:r>
              <w:rPr>
                <w:rFonts w:ascii="Times New Roman" w:cs="Times New Roman" w:eastAsia="Times New Roman" w:hAnsi="Times New Roman"/>
                <w:sz w:val="11"/>
                <w:szCs w:val="11"/>
                <w:color w:val="auto"/>
              </w:rPr>
              <w:t>Total # of</w:t>
            </w:r>
          </w:p>
        </w:tc>
        <w:tc>
          <w:tcPr>
            <w:tcW w:w="740" w:type="dxa"/>
            <w:vAlign w:val="bottom"/>
            <w:tcBorders>
              <w:right w:val="single" w:sz="8" w:color="auto"/>
            </w:tcBorders>
            <w:shd w:val="clear" w:color="auto" w:fill="DBE5F1"/>
          </w:tcPr>
          <w:p>
            <w:pPr>
              <w:spacing w:after="0"/>
              <w:rPr>
                <w:sz w:val="9"/>
                <w:szCs w:val="9"/>
                <w:color w:val="auto"/>
              </w:rPr>
            </w:pPr>
          </w:p>
        </w:tc>
        <w:tc>
          <w:tcPr>
            <w:tcW w:w="1020" w:type="dxa"/>
            <w:vAlign w:val="bottom"/>
            <w:tcBorders>
              <w:right w:val="single" w:sz="8" w:color="auto"/>
            </w:tcBorders>
            <w:shd w:val="clear" w:color="auto" w:fill="DBE5F1"/>
          </w:tcPr>
          <w:p>
            <w:pPr>
              <w:spacing w:after="0"/>
              <w:rPr>
                <w:sz w:val="9"/>
                <w:szCs w:val="9"/>
                <w:color w:val="auto"/>
              </w:rPr>
            </w:pPr>
          </w:p>
        </w:tc>
        <w:tc>
          <w:tcPr>
            <w:tcW w:w="840" w:type="dxa"/>
            <w:vAlign w:val="bottom"/>
            <w:tcBorders>
              <w:right w:val="single" w:sz="8" w:color="auto"/>
            </w:tcBorders>
            <w:shd w:val="clear" w:color="auto" w:fill="DBE5F1"/>
          </w:tcPr>
          <w:p>
            <w:pPr>
              <w:spacing w:after="0"/>
              <w:rPr>
                <w:sz w:val="9"/>
                <w:szCs w:val="9"/>
                <w:color w:val="auto"/>
              </w:rPr>
            </w:pPr>
          </w:p>
        </w:tc>
        <w:tc>
          <w:tcPr>
            <w:tcW w:w="940" w:type="dxa"/>
            <w:vAlign w:val="bottom"/>
            <w:tcBorders>
              <w:right w:val="single" w:sz="8" w:color="auto"/>
            </w:tcBorders>
            <w:shd w:val="clear" w:color="auto" w:fill="DBE5F1"/>
          </w:tcPr>
          <w:p>
            <w:pPr>
              <w:spacing w:after="0"/>
              <w:rPr>
                <w:sz w:val="9"/>
                <w:szCs w:val="9"/>
                <w:color w:val="auto"/>
              </w:rPr>
            </w:pPr>
          </w:p>
        </w:tc>
        <w:tc>
          <w:tcPr>
            <w:tcW w:w="940" w:type="dxa"/>
            <w:vAlign w:val="bottom"/>
            <w:tcBorders>
              <w:right w:val="single" w:sz="8" w:color="auto"/>
            </w:tcBorders>
            <w:shd w:val="clear" w:color="auto" w:fill="DBE5F1"/>
          </w:tcPr>
          <w:p>
            <w:pPr>
              <w:jc w:val="center"/>
              <w:spacing w:after="0" w:line="113" w:lineRule="exact"/>
              <w:rPr>
                <w:sz w:val="20"/>
                <w:szCs w:val="20"/>
                <w:color w:val="auto"/>
              </w:rPr>
            </w:pPr>
            <w:r>
              <w:rPr>
                <w:rFonts w:ascii="Times New Roman" w:cs="Times New Roman" w:eastAsia="Times New Roman" w:hAnsi="Times New Roman"/>
                <w:sz w:val="11"/>
                <w:szCs w:val="11"/>
                <w:color w:val="auto"/>
                <w:w w:val="99"/>
              </w:rPr>
              <w:t>Total dollar value</w:t>
            </w:r>
          </w:p>
        </w:tc>
        <w:tc>
          <w:tcPr>
            <w:tcW w:w="940" w:type="dxa"/>
            <w:vAlign w:val="bottom"/>
            <w:tcBorders>
              <w:right w:val="single" w:sz="8" w:color="auto"/>
            </w:tcBorders>
            <w:shd w:val="clear" w:color="auto" w:fill="DBE5F1"/>
          </w:tcPr>
          <w:p>
            <w:pPr>
              <w:spacing w:after="0"/>
              <w:rPr>
                <w:sz w:val="9"/>
                <w:szCs w:val="9"/>
                <w:color w:val="auto"/>
              </w:rPr>
            </w:pPr>
          </w:p>
        </w:tc>
        <w:tc>
          <w:tcPr>
            <w:tcW w:w="920" w:type="dxa"/>
            <w:vAlign w:val="bottom"/>
            <w:tcBorders>
              <w:right w:val="single" w:sz="8" w:color="auto"/>
            </w:tcBorders>
            <w:shd w:val="clear" w:color="auto" w:fill="DBE5F1"/>
          </w:tcPr>
          <w:p>
            <w:pPr>
              <w:spacing w:after="0"/>
              <w:rPr>
                <w:sz w:val="9"/>
                <w:szCs w:val="9"/>
                <w:color w:val="auto"/>
              </w:rPr>
            </w:pPr>
          </w:p>
        </w:tc>
        <w:tc>
          <w:tcPr>
            <w:tcW w:w="960" w:type="dxa"/>
            <w:vAlign w:val="bottom"/>
            <w:tcBorders>
              <w:right w:val="single" w:sz="8" w:color="auto"/>
            </w:tcBorders>
            <w:shd w:val="clear" w:color="auto" w:fill="DBE5F1"/>
          </w:tcPr>
          <w:p>
            <w:pPr>
              <w:spacing w:after="0"/>
              <w:rPr>
                <w:sz w:val="9"/>
                <w:szCs w:val="9"/>
                <w:color w:val="auto"/>
              </w:rPr>
            </w:pPr>
          </w:p>
        </w:tc>
        <w:tc>
          <w:tcPr>
            <w:tcW w:w="940" w:type="dxa"/>
            <w:vAlign w:val="bottom"/>
            <w:tcBorders>
              <w:right w:val="single" w:sz="8" w:color="auto"/>
            </w:tcBorders>
            <w:shd w:val="clear" w:color="auto" w:fill="DBE5F1"/>
          </w:tcPr>
          <w:p>
            <w:pPr>
              <w:jc w:val="center"/>
              <w:spacing w:after="0" w:line="113" w:lineRule="exact"/>
              <w:rPr>
                <w:sz w:val="20"/>
                <w:szCs w:val="20"/>
                <w:color w:val="auto"/>
              </w:rPr>
            </w:pPr>
            <w:r>
              <w:rPr>
                <w:rFonts w:ascii="Times New Roman" w:cs="Times New Roman" w:eastAsia="Times New Roman" w:hAnsi="Times New Roman"/>
                <w:sz w:val="11"/>
                <w:szCs w:val="11"/>
                <w:color w:val="auto"/>
              </w:rPr>
              <w:t>Safety and Health</w:t>
            </w:r>
          </w:p>
        </w:tc>
        <w:tc>
          <w:tcPr>
            <w:tcW w:w="940" w:type="dxa"/>
            <w:vAlign w:val="bottom"/>
            <w:tcBorders>
              <w:right w:val="single" w:sz="8" w:color="auto"/>
            </w:tcBorders>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20" w:type="dxa"/>
            <w:vAlign w:val="bottom"/>
            <w:tcBorders>
              <w:left w:val="single" w:sz="8" w:color="auto"/>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1"/>
                <w:szCs w:val="11"/>
                <w:color w:val="auto"/>
              </w:rPr>
              <w:t>(Federal Mine Safety</w:t>
            </w:r>
          </w:p>
        </w:tc>
        <w:tc>
          <w:tcPr>
            <w:tcW w:w="900" w:type="dxa"/>
            <w:vAlign w:val="bottom"/>
            <w:tcBorders>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1"/>
                <w:szCs w:val="11"/>
                <w:color w:val="auto"/>
              </w:rPr>
              <w:t>Significant &amp;</w:t>
            </w:r>
          </w:p>
        </w:tc>
        <w:tc>
          <w:tcPr>
            <w:tcW w:w="740" w:type="dxa"/>
            <w:vAlign w:val="bottom"/>
            <w:tcBorders>
              <w:right w:val="single" w:sz="8" w:color="auto"/>
            </w:tcBorders>
            <w:vMerge w:val="restart"/>
            <w:shd w:val="clear" w:color="auto" w:fill="DBE5F1"/>
          </w:tcPr>
          <w:p>
            <w:pPr>
              <w:jc w:val="center"/>
              <w:spacing w:after="0"/>
              <w:rPr>
                <w:sz w:val="20"/>
                <w:szCs w:val="20"/>
                <w:color w:val="auto"/>
              </w:rPr>
            </w:pPr>
            <w:r>
              <w:rPr>
                <w:rFonts w:ascii="Times New Roman" w:cs="Times New Roman" w:eastAsia="Times New Roman" w:hAnsi="Times New Roman"/>
                <w:sz w:val="11"/>
                <w:szCs w:val="11"/>
                <w:color w:val="auto"/>
                <w:w w:val="96"/>
              </w:rPr>
              <w:t>Total # of</w:t>
            </w:r>
          </w:p>
        </w:tc>
        <w:tc>
          <w:tcPr>
            <w:tcW w:w="1020" w:type="dxa"/>
            <w:vAlign w:val="bottom"/>
            <w:tcBorders>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Total # of</w:t>
            </w:r>
          </w:p>
        </w:tc>
        <w:tc>
          <w:tcPr>
            <w:tcW w:w="840" w:type="dxa"/>
            <w:vAlign w:val="bottom"/>
            <w:tcBorders>
              <w:right w:val="single" w:sz="8" w:color="auto"/>
            </w:tcBorders>
            <w:vMerge w:val="restart"/>
            <w:shd w:val="clear" w:color="auto" w:fill="DBE5F1"/>
          </w:tcPr>
          <w:p>
            <w:pPr>
              <w:jc w:val="center"/>
              <w:spacing w:after="0"/>
              <w:rPr>
                <w:sz w:val="20"/>
                <w:szCs w:val="20"/>
                <w:color w:val="auto"/>
              </w:rPr>
            </w:pPr>
            <w:r>
              <w:rPr>
                <w:rFonts w:ascii="Times New Roman" w:cs="Times New Roman" w:eastAsia="Times New Roman" w:hAnsi="Times New Roman"/>
                <w:sz w:val="11"/>
                <w:szCs w:val="11"/>
                <w:color w:val="auto"/>
              </w:rPr>
              <w:t>Total # of</w:t>
            </w:r>
          </w:p>
        </w:tc>
        <w:tc>
          <w:tcPr>
            <w:tcW w:w="940" w:type="dxa"/>
            <w:vAlign w:val="bottom"/>
            <w:tcBorders>
              <w:right w:val="single" w:sz="8" w:color="auto"/>
            </w:tcBorders>
            <w:shd w:val="clear" w:color="auto" w:fill="DBE5F1"/>
          </w:tcPr>
          <w:p>
            <w:pPr>
              <w:spacing w:after="0"/>
              <w:rPr>
                <w:sz w:val="10"/>
                <w:szCs w:val="10"/>
                <w:color w:val="auto"/>
              </w:rPr>
            </w:pPr>
          </w:p>
        </w:tc>
        <w:tc>
          <w:tcPr>
            <w:tcW w:w="940" w:type="dxa"/>
            <w:vAlign w:val="bottom"/>
            <w:tcBorders>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1"/>
                <w:szCs w:val="11"/>
                <w:color w:val="auto"/>
              </w:rPr>
              <w:t>of proposed</w:t>
            </w:r>
          </w:p>
        </w:tc>
        <w:tc>
          <w:tcPr>
            <w:tcW w:w="940" w:type="dxa"/>
            <w:vAlign w:val="bottom"/>
            <w:tcBorders>
              <w:right w:val="single" w:sz="8" w:color="auto"/>
            </w:tcBorders>
            <w:shd w:val="clear" w:color="auto" w:fill="DBE5F1"/>
          </w:tcPr>
          <w:p>
            <w:pPr>
              <w:spacing w:after="0"/>
              <w:rPr>
                <w:sz w:val="10"/>
                <w:szCs w:val="10"/>
                <w:color w:val="auto"/>
              </w:rPr>
            </w:pPr>
          </w:p>
        </w:tc>
        <w:tc>
          <w:tcPr>
            <w:tcW w:w="920" w:type="dxa"/>
            <w:vAlign w:val="bottom"/>
            <w:tcBorders>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1"/>
                <w:szCs w:val="11"/>
                <w:color w:val="auto"/>
              </w:rPr>
              <w:t>Received Notice of</w:t>
            </w:r>
          </w:p>
        </w:tc>
        <w:tc>
          <w:tcPr>
            <w:tcW w:w="960" w:type="dxa"/>
            <w:vAlign w:val="bottom"/>
            <w:tcBorders>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1"/>
                <w:szCs w:val="11"/>
                <w:color w:val="auto"/>
              </w:rPr>
              <w:t>Received Notice of</w:t>
            </w:r>
          </w:p>
        </w:tc>
        <w:tc>
          <w:tcPr>
            <w:tcW w:w="940" w:type="dxa"/>
            <w:vAlign w:val="bottom"/>
            <w:tcBorders>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1"/>
                <w:szCs w:val="11"/>
                <w:color w:val="auto"/>
              </w:rPr>
              <w:t>Review</w:t>
            </w:r>
          </w:p>
        </w:tc>
        <w:tc>
          <w:tcPr>
            <w:tcW w:w="940" w:type="dxa"/>
            <w:vAlign w:val="bottom"/>
            <w:tcBorders>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1"/>
                <w:szCs w:val="11"/>
                <w:color w:val="auto"/>
              </w:rPr>
              <w:t>Legal Actions</w:t>
            </w:r>
          </w:p>
        </w:tc>
        <w:tc>
          <w:tcPr>
            <w:tcW w:w="0" w:type="dxa"/>
            <w:vAlign w:val="bottom"/>
          </w:tcPr>
          <w:p>
            <w:pPr>
              <w:spacing w:after="0"/>
              <w:rPr>
                <w:sz w:val="1"/>
                <w:szCs w:val="1"/>
                <w:color w:val="auto"/>
              </w:rPr>
            </w:pPr>
          </w:p>
        </w:tc>
      </w:tr>
      <w:tr>
        <w:trPr>
          <w:trHeight w:val="109"/>
        </w:trPr>
        <w:tc>
          <w:tcPr>
            <w:tcW w:w="1120" w:type="dxa"/>
            <w:vAlign w:val="bottom"/>
            <w:tcBorders>
              <w:left w:val="single" w:sz="8" w:color="auto"/>
              <w:right w:val="single" w:sz="8" w:color="auto"/>
            </w:tcBorders>
            <w:shd w:val="clear" w:color="auto" w:fill="DBE5F1"/>
          </w:tcPr>
          <w:p>
            <w:pPr>
              <w:jc w:val="center"/>
              <w:spacing w:after="0" w:line="110" w:lineRule="exact"/>
              <w:rPr>
                <w:sz w:val="20"/>
                <w:szCs w:val="20"/>
                <w:color w:val="auto"/>
              </w:rPr>
            </w:pPr>
            <w:r>
              <w:rPr>
                <w:rFonts w:ascii="Times New Roman" w:cs="Times New Roman" w:eastAsia="Times New Roman" w:hAnsi="Times New Roman"/>
                <w:sz w:val="11"/>
                <w:szCs w:val="11"/>
                <w:color w:val="auto"/>
              </w:rPr>
              <w:t>and Health</w:t>
            </w:r>
          </w:p>
        </w:tc>
        <w:tc>
          <w:tcPr>
            <w:tcW w:w="900" w:type="dxa"/>
            <w:vAlign w:val="bottom"/>
            <w:tcBorders>
              <w:right w:val="single" w:sz="8" w:color="auto"/>
            </w:tcBorders>
            <w:shd w:val="clear" w:color="auto" w:fill="DBE5F1"/>
          </w:tcPr>
          <w:p>
            <w:pPr>
              <w:jc w:val="center"/>
              <w:spacing w:after="0" w:line="110" w:lineRule="exact"/>
              <w:rPr>
                <w:sz w:val="20"/>
                <w:szCs w:val="20"/>
                <w:color w:val="auto"/>
              </w:rPr>
            </w:pPr>
            <w:r>
              <w:rPr>
                <w:rFonts w:ascii="Times New Roman" w:cs="Times New Roman" w:eastAsia="Times New Roman" w:hAnsi="Times New Roman"/>
                <w:sz w:val="11"/>
                <w:szCs w:val="11"/>
                <w:color w:val="auto"/>
              </w:rPr>
              <w:t>Substantial</w:t>
            </w:r>
          </w:p>
        </w:tc>
        <w:tc>
          <w:tcPr>
            <w:tcW w:w="740" w:type="dxa"/>
            <w:vAlign w:val="bottom"/>
            <w:tcBorders>
              <w:right w:val="single" w:sz="8" w:color="auto"/>
            </w:tcBorders>
            <w:vMerge w:val="continue"/>
            <w:shd w:val="clear" w:color="auto" w:fill="DBE5F1"/>
          </w:tcPr>
          <w:p>
            <w:pPr>
              <w:spacing w:after="0"/>
              <w:rPr>
                <w:sz w:val="9"/>
                <w:szCs w:val="9"/>
                <w:color w:val="auto"/>
              </w:rPr>
            </w:pPr>
          </w:p>
        </w:tc>
        <w:tc>
          <w:tcPr>
            <w:tcW w:w="1020" w:type="dxa"/>
            <w:vAlign w:val="bottom"/>
            <w:tcBorders>
              <w:right w:val="single" w:sz="8" w:color="auto"/>
            </w:tcBorders>
            <w:shd w:val="clear" w:color="auto" w:fill="DBE5F1"/>
          </w:tcPr>
          <w:p>
            <w:pPr>
              <w:jc w:val="center"/>
              <w:spacing w:after="0" w:line="110" w:lineRule="exact"/>
              <w:rPr>
                <w:sz w:val="20"/>
                <w:szCs w:val="20"/>
                <w:color w:val="auto"/>
              </w:rPr>
            </w:pPr>
            <w:r>
              <w:rPr>
                <w:rFonts w:ascii="Times New Roman" w:cs="Times New Roman" w:eastAsia="Times New Roman" w:hAnsi="Times New Roman"/>
                <w:sz w:val="11"/>
                <w:szCs w:val="11"/>
                <w:color w:val="auto"/>
              </w:rPr>
              <w:t>unwarrantable failure</w:t>
            </w:r>
          </w:p>
        </w:tc>
        <w:tc>
          <w:tcPr>
            <w:tcW w:w="840" w:type="dxa"/>
            <w:vAlign w:val="bottom"/>
            <w:tcBorders>
              <w:right w:val="single" w:sz="8" w:color="auto"/>
            </w:tcBorders>
            <w:vMerge w:val="continue"/>
            <w:shd w:val="clear" w:color="auto" w:fill="DBE5F1"/>
          </w:tcPr>
          <w:p>
            <w:pPr>
              <w:spacing w:after="0"/>
              <w:rPr>
                <w:sz w:val="9"/>
                <w:szCs w:val="9"/>
                <w:color w:val="auto"/>
              </w:rPr>
            </w:pPr>
          </w:p>
        </w:tc>
        <w:tc>
          <w:tcPr>
            <w:tcW w:w="940" w:type="dxa"/>
            <w:vAlign w:val="bottom"/>
            <w:tcBorders>
              <w:right w:val="single" w:sz="8" w:color="auto"/>
            </w:tcBorders>
            <w:vMerge w:val="restart"/>
            <w:shd w:val="clear" w:color="auto" w:fill="DBE5F1"/>
          </w:tcPr>
          <w:p>
            <w:pPr>
              <w:jc w:val="center"/>
              <w:spacing w:after="0"/>
              <w:rPr>
                <w:sz w:val="20"/>
                <w:szCs w:val="20"/>
                <w:color w:val="auto"/>
              </w:rPr>
            </w:pPr>
            <w:r>
              <w:rPr>
                <w:rFonts w:ascii="Times New Roman" w:cs="Times New Roman" w:eastAsia="Times New Roman" w:hAnsi="Times New Roman"/>
                <w:sz w:val="11"/>
                <w:szCs w:val="11"/>
                <w:color w:val="auto"/>
              </w:rPr>
              <w:t>Total # of orders</w:t>
            </w:r>
          </w:p>
        </w:tc>
        <w:tc>
          <w:tcPr>
            <w:tcW w:w="940" w:type="dxa"/>
            <w:vAlign w:val="bottom"/>
            <w:tcBorders>
              <w:right w:val="single" w:sz="8" w:color="auto"/>
            </w:tcBorders>
            <w:shd w:val="clear" w:color="auto" w:fill="DBE5F1"/>
          </w:tcPr>
          <w:p>
            <w:pPr>
              <w:jc w:val="center"/>
              <w:spacing w:after="0" w:line="110" w:lineRule="exact"/>
              <w:rPr>
                <w:sz w:val="20"/>
                <w:szCs w:val="20"/>
                <w:color w:val="auto"/>
              </w:rPr>
            </w:pPr>
            <w:r>
              <w:rPr>
                <w:rFonts w:ascii="Times New Roman" w:cs="Times New Roman" w:eastAsia="Times New Roman" w:hAnsi="Times New Roman"/>
                <w:sz w:val="11"/>
                <w:szCs w:val="11"/>
                <w:color w:val="auto"/>
              </w:rPr>
              <w:t>assessments from</w:t>
            </w:r>
          </w:p>
        </w:tc>
        <w:tc>
          <w:tcPr>
            <w:tcW w:w="940" w:type="dxa"/>
            <w:vAlign w:val="bottom"/>
            <w:tcBorders>
              <w:right w:val="single" w:sz="8" w:color="auto"/>
            </w:tcBorders>
            <w:vMerge w:val="restart"/>
            <w:shd w:val="clear" w:color="auto" w:fill="DBE5F1"/>
          </w:tcPr>
          <w:p>
            <w:pPr>
              <w:jc w:val="center"/>
              <w:spacing w:after="0"/>
              <w:rPr>
                <w:sz w:val="20"/>
                <w:szCs w:val="20"/>
                <w:color w:val="auto"/>
              </w:rPr>
            </w:pPr>
            <w:r>
              <w:rPr>
                <w:rFonts w:ascii="Times New Roman" w:cs="Times New Roman" w:eastAsia="Times New Roman" w:hAnsi="Times New Roman"/>
                <w:sz w:val="11"/>
                <w:szCs w:val="11"/>
                <w:color w:val="auto"/>
              </w:rPr>
              <w:t>Total # of mining</w:t>
            </w:r>
          </w:p>
        </w:tc>
        <w:tc>
          <w:tcPr>
            <w:tcW w:w="920" w:type="dxa"/>
            <w:vAlign w:val="bottom"/>
            <w:tcBorders>
              <w:right w:val="single" w:sz="8" w:color="auto"/>
            </w:tcBorders>
            <w:shd w:val="clear" w:color="auto" w:fill="DBE5F1"/>
          </w:tcPr>
          <w:p>
            <w:pPr>
              <w:jc w:val="center"/>
              <w:spacing w:after="0" w:line="110" w:lineRule="exact"/>
              <w:rPr>
                <w:sz w:val="20"/>
                <w:szCs w:val="20"/>
                <w:color w:val="auto"/>
              </w:rPr>
            </w:pPr>
            <w:r>
              <w:rPr>
                <w:rFonts w:ascii="Times New Roman" w:cs="Times New Roman" w:eastAsia="Times New Roman" w:hAnsi="Times New Roman"/>
                <w:sz w:val="11"/>
                <w:szCs w:val="11"/>
                <w:color w:val="auto"/>
              </w:rPr>
              <w:t>Pattern of</w:t>
            </w:r>
          </w:p>
        </w:tc>
        <w:tc>
          <w:tcPr>
            <w:tcW w:w="960" w:type="dxa"/>
            <w:vAlign w:val="bottom"/>
            <w:tcBorders>
              <w:right w:val="single" w:sz="8" w:color="auto"/>
            </w:tcBorders>
            <w:shd w:val="clear" w:color="auto" w:fill="DBE5F1"/>
          </w:tcPr>
          <w:p>
            <w:pPr>
              <w:jc w:val="center"/>
              <w:spacing w:after="0" w:line="110" w:lineRule="exact"/>
              <w:rPr>
                <w:sz w:val="20"/>
                <w:szCs w:val="20"/>
                <w:color w:val="auto"/>
              </w:rPr>
            </w:pPr>
            <w:r>
              <w:rPr>
                <w:rFonts w:ascii="Times New Roman" w:cs="Times New Roman" w:eastAsia="Times New Roman" w:hAnsi="Times New Roman"/>
                <w:sz w:val="11"/>
                <w:szCs w:val="11"/>
                <w:color w:val="auto"/>
              </w:rPr>
              <w:t>Potential to have</w:t>
            </w:r>
          </w:p>
        </w:tc>
        <w:tc>
          <w:tcPr>
            <w:tcW w:w="940" w:type="dxa"/>
            <w:vAlign w:val="bottom"/>
            <w:tcBorders>
              <w:right w:val="single" w:sz="8" w:color="auto"/>
            </w:tcBorders>
            <w:shd w:val="clear" w:color="auto" w:fill="DBE5F1"/>
          </w:tcPr>
          <w:p>
            <w:pPr>
              <w:jc w:val="center"/>
              <w:spacing w:after="0" w:line="110" w:lineRule="exact"/>
              <w:rPr>
                <w:sz w:val="20"/>
                <w:szCs w:val="20"/>
                <w:color w:val="auto"/>
              </w:rPr>
            </w:pPr>
            <w:r>
              <w:rPr>
                <w:rFonts w:ascii="Times New Roman" w:cs="Times New Roman" w:eastAsia="Times New Roman" w:hAnsi="Times New Roman"/>
                <w:sz w:val="11"/>
                <w:szCs w:val="11"/>
                <w:color w:val="auto"/>
              </w:rPr>
              <w:t>Commission as of</w:t>
            </w:r>
          </w:p>
        </w:tc>
        <w:tc>
          <w:tcPr>
            <w:tcW w:w="940" w:type="dxa"/>
            <w:vAlign w:val="bottom"/>
            <w:tcBorders>
              <w:right w:val="single" w:sz="8" w:color="auto"/>
            </w:tcBorders>
            <w:shd w:val="clear" w:color="auto" w:fill="DBE5F1"/>
          </w:tcPr>
          <w:p>
            <w:pPr>
              <w:jc w:val="center"/>
              <w:spacing w:after="0" w:line="110" w:lineRule="exact"/>
              <w:rPr>
                <w:sz w:val="20"/>
                <w:szCs w:val="20"/>
                <w:color w:val="auto"/>
              </w:rPr>
            </w:pPr>
            <w:r>
              <w:rPr>
                <w:rFonts w:ascii="Times New Roman" w:cs="Times New Roman" w:eastAsia="Times New Roman" w:hAnsi="Times New Roman"/>
                <w:sz w:val="11"/>
                <w:szCs w:val="11"/>
                <w:color w:val="auto"/>
              </w:rPr>
              <w:t>Initiated or</w:t>
            </w:r>
          </w:p>
        </w:tc>
        <w:tc>
          <w:tcPr>
            <w:tcW w:w="0" w:type="dxa"/>
            <w:vAlign w:val="bottom"/>
          </w:tcPr>
          <w:p>
            <w:pPr>
              <w:spacing w:after="0"/>
              <w:rPr>
                <w:sz w:val="1"/>
                <w:szCs w:val="1"/>
                <w:color w:val="auto"/>
              </w:rPr>
            </w:pPr>
          </w:p>
        </w:tc>
      </w:tr>
      <w:tr>
        <w:trPr>
          <w:trHeight w:val="109"/>
        </w:trPr>
        <w:tc>
          <w:tcPr>
            <w:tcW w:w="1120" w:type="dxa"/>
            <w:vAlign w:val="bottom"/>
            <w:tcBorders>
              <w:left w:val="single" w:sz="8" w:color="auto"/>
              <w:right w:val="single" w:sz="8" w:color="auto"/>
            </w:tcBorders>
            <w:shd w:val="clear" w:color="auto" w:fill="DBE5F1"/>
          </w:tcPr>
          <w:p>
            <w:pPr>
              <w:jc w:val="center"/>
              <w:spacing w:after="0" w:line="110" w:lineRule="exact"/>
              <w:rPr>
                <w:sz w:val="20"/>
                <w:szCs w:val="20"/>
                <w:color w:val="auto"/>
              </w:rPr>
            </w:pPr>
            <w:r>
              <w:rPr>
                <w:rFonts w:ascii="Times New Roman" w:cs="Times New Roman" w:eastAsia="Times New Roman" w:hAnsi="Times New Roman"/>
                <w:sz w:val="11"/>
                <w:szCs w:val="11"/>
                <w:color w:val="auto"/>
              </w:rPr>
              <w:t>Administration</w:t>
            </w:r>
          </w:p>
        </w:tc>
        <w:tc>
          <w:tcPr>
            <w:tcW w:w="900" w:type="dxa"/>
            <w:vAlign w:val="bottom"/>
            <w:tcBorders>
              <w:right w:val="single" w:sz="8" w:color="auto"/>
            </w:tcBorders>
            <w:shd w:val="clear" w:color="auto" w:fill="DBE5F1"/>
          </w:tcPr>
          <w:p>
            <w:pPr>
              <w:jc w:val="center"/>
              <w:spacing w:after="0" w:line="110" w:lineRule="exact"/>
              <w:rPr>
                <w:sz w:val="20"/>
                <w:szCs w:val="20"/>
                <w:color w:val="auto"/>
              </w:rPr>
            </w:pPr>
            <w:r>
              <w:rPr>
                <w:rFonts w:ascii="Times New Roman" w:cs="Times New Roman" w:eastAsia="Times New Roman" w:hAnsi="Times New Roman"/>
                <w:sz w:val="11"/>
                <w:szCs w:val="11"/>
                <w:color w:val="auto"/>
              </w:rPr>
              <w:t>violations under</w:t>
            </w:r>
          </w:p>
        </w:tc>
        <w:tc>
          <w:tcPr>
            <w:tcW w:w="740" w:type="dxa"/>
            <w:vAlign w:val="bottom"/>
            <w:tcBorders>
              <w:right w:val="single" w:sz="8" w:color="auto"/>
            </w:tcBorders>
            <w:shd w:val="clear" w:color="auto" w:fill="DBE5F1"/>
          </w:tcPr>
          <w:p>
            <w:pPr>
              <w:jc w:val="center"/>
              <w:spacing w:after="0" w:line="110" w:lineRule="exact"/>
              <w:rPr>
                <w:sz w:val="20"/>
                <w:szCs w:val="20"/>
                <w:color w:val="auto"/>
              </w:rPr>
            </w:pPr>
            <w:r>
              <w:rPr>
                <w:rFonts w:ascii="Times New Roman" w:cs="Times New Roman" w:eastAsia="Times New Roman" w:hAnsi="Times New Roman"/>
                <w:sz w:val="11"/>
                <w:szCs w:val="11"/>
                <w:color w:val="auto"/>
              </w:rPr>
              <w:t>orders under</w:t>
            </w:r>
          </w:p>
        </w:tc>
        <w:tc>
          <w:tcPr>
            <w:tcW w:w="1020" w:type="dxa"/>
            <w:vAlign w:val="bottom"/>
            <w:tcBorders>
              <w:right w:val="single" w:sz="8" w:color="auto"/>
            </w:tcBorders>
            <w:shd w:val="clear" w:color="auto" w:fill="DBE5F1"/>
          </w:tcPr>
          <w:p>
            <w:pPr>
              <w:jc w:val="center"/>
              <w:spacing w:after="0" w:line="110" w:lineRule="exact"/>
              <w:rPr>
                <w:sz w:val="20"/>
                <w:szCs w:val="20"/>
                <w:color w:val="auto"/>
              </w:rPr>
            </w:pPr>
            <w:r>
              <w:rPr>
                <w:rFonts w:ascii="Times New Roman" w:cs="Times New Roman" w:eastAsia="Times New Roman" w:hAnsi="Times New Roman"/>
                <w:sz w:val="11"/>
                <w:szCs w:val="11"/>
                <w:color w:val="auto"/>
              </w:rPr>
              <w:t>citations and orders</w:t>
            </w:r>
          </w:p>
        </w:tc>
        <w:tc>
          <w:tcPr>
            <w:tcW w:w="840" w:type="dxa"/>
            <w:vAlign w:val="bottom"/>
            <w:tcBorders>
              <w:right w:val="single" w:sz="8" w:color="auto"/>
            </w:tcBorders>
            <w:shd w:val="clear" w:color="auto" w:fill="DBE5F1"/>
          </w:tcPr>
          <w:p>
            <w:pPr>
              <w:jc w:val="center"/>
              <w:spacing w:after="0" w:line="110" w:lineRule="exact"/>
              <w:rPr>
                <w:sz w:val="20"/>
                <w:szCs w:val="20"/>
                <w:color w:val="auto"/>
              </w:rPr>
            </w:pPr>
            <w:r>
              <w:rPr>
                <w:rFonts w:ascii="Times New Roman" w:cs="Times New Roman" w:eastAsia="Times New Roman" w:hAnsi="Times New Roman"/>
                <w:sz w:val="11"/>
                <w:szCs w:val="11"/>
                <w:color w:val="auto"/>
              </w:rPr>
              <w:t>violations under</w:t>
            </w:r>
          </w:p>
        </w:tc>
        <w:tc>
          <w:tcPr>
            <w:tcW w:w="940" w:type="dxa"/>
            <w:vAlign w:val="bottom"/>
            <w:tcBorders>
              <w:right w:val="single" w:sz="8" w:color="auto"/>
            </w:tcBorders>
            <w:vMerge w:val="continue"/>
            <w:shd w:val="clear" w:color="auto" w:fill="DBE5F1"/>
          </w:tcPr>
          <w:p>
            <w:pPr>
              <w:spacing w:after="0"/>
              <w:rPr>
                <w:sz w:val="9"/>
                <w:szCs w:val="9"/>
                <w:color w:val="auto"/>
              </w:rPr>
            </w:pPr>
          </w:p>
        </w:tc>
        <w:tc>
          <w:tcPr>
            <w:tcW w:w="940" w:type="dxa"/>
            <w:vAlign w:val="bottom"/>
            <w:tcBorders>
              <w:right w:val="single" w:sz="8" w:color="auto"/>
            </w:tcBorders>
            <w:shd w:val="clear" w:color="auto" w:fill="DBE5F1"/>
          </w:tcPr>
          <w:p>
            <w:pPr>
              <w:jc w:val="center"/>
              <w:spacing w:after="0" w:line="110" w:lineRule="exact"/>
              <w:rPr>
                <w:sz w:val="20"/>
                <w:szCs w:val="20"/>
                <w:color w:val="auto"/>
              </w:rPr>
            </w:pPr>
            <w:r>
              <w:rPr>
                <w:rFonts w:ascii="Times New Roman" w:cs="Times New Roman" w:eastAsia="Times New Roman" w:hAnsi="Times New Roman"/>
                <w:sz w:val="11"/>
                <w:szCs w:val="11"/>
                <w:color w:val="auto"/>
              </w:rPr>
              <w:t>MSHA ($ in</w:t>
            </w:r>
          </w:p>
        </w:tc>
        <w:tc>
          <w:tcPr>
            <w:tcW w:w="940" w:type="dxa"/>
            <w:vAlign w:val="bottom"/>
            <w:tcBorders>
              <w:right w:val="single" w:sz="8" w:color="auto"/>
            </w:tcBorders>
            <w:vMerge w:val="continue"/>
            <w:shd w:val="clear" w:color="auto" w:fill="DBE5F1"/>
          </w:tcPr>
          <w:p>
            <w:pPr>
              <w:spacing w:after="0"/>
              <w:rPr>
                <w:sz w:val="9"/>
                <w:szCs w:val="9"/>
                <w:color w:val="auto"/>
              </w:rPr>
            </w:pPr>
          </w:p>
        </w:tc>
        <w:tc>
          <w:tcPr>
            <w:tcW w:w="920" w:type="dxa"/>
            <w:vAlign w:val="bottom"/>
            <w:tcBorders>
              <w:right w:val="single" w:sz="8" w:color="auto"/>
            </w:tcBorders>
            <w:shd w:val="clear" w:color="auto" w:fill="DBE5F1"/>
          </w:tcPr>
          <w:p>
            <w:pPr>
              <w:jc w:val="center"/>
              <w:spacing w:after="0" w:line="110" w:lineRule="exact"/>
              <w:rPr>
                <w:sz w:val="20"/>
                <w:szCs w:val="20"/>
                <w:color w:val="auto"/>
              </w:rPr>
            </w:pPr>
            <w:r>
              <w:rPr>
                <w:rFonts w:ascii="Times New Roman" w:cs="Times New Roman" w:eastAsia="Times New Roman" w:hAnsi="Times New Roman"/>
                <w:sz w:val="11"/>
                <w:szCs w:val="11"/>
                <w:color w:val="auto"/>
              </w:rPr>
              <w:t>Violations under</w:t>
            </w:r>
          </w:p>
        </w:tc>
        <w:tc>
          <w:tcPr>
            <w:tcW w:w="960" w:type="dxa"/>
            <w:vAlign w:val="bottom"/>
            <w:tcBorders>
              <w:right w:val="single" w:sz="8" w:color="auto"/>
            </w:tcBorders>
            <w:shd w:val="clear" w:color="auto" w:fill="DBE5F1"/>
          </w:tcPr>
          <w:p>
            <w:pPr>
              <w:jc w:val="center"/>
              <w:spacing w:after="0" w:line="110" w:lineRule="exact"/>
              <w:rPr>
                <w:sz w:val="20"/>
                <w:szCs w:val="20"/>
                <w:color w:val="auto"/>
              </w:rPr>
            </w:pPr>
            <w:r>
              <w:rPr>
                <w:rFonts w:ascii="Times New Roman" w:cs="Times New Roman" w:eastAsia="Times New Roman" w:hAnsi="Times New Roman"/>
                <w:sz w:val="11"/>
                <w:szCs w:val="11"/>
                <w:color w:val="auto"/>
              </w:rPr>
              <w:t>Pattern under</w:t>
            </w:r>
          </w:p>
        </w:tc>
        <w:tc>
          <w:tcPr>
            <w:tcW w:w="940" w:type="dxa"/>
            <w:vAlign w:val="bottom"/>
            <w:tcBorders>
              <w:right w:val="single" w:sz="8" w:color="auto"/>
            </w:tcBorders>
            <w:shd w:val="clear" w:color="auto" w:fill="DBE5F1"/>
          </w:tcPr>
          <w:p>
            <w:pPr>
              <w:jc w:val="center"/>
              <w:spacing w:after="0" w:line="110" w:lineRule="exact"/>
              <w:rPr>
                <w:sz w:val="20"/>
                <w:szCs w:val="20"/>
                <w:color w:val="auto"/>
              </w:rPr>
            </w:pPr>
            <w:r>
              <w:rPr>
                <w:rFonts w:ascii="Times New Roman" w:cs="Times New Roman" w:eastAsia="Times New Roman" w:hAnsi="Times New Roman"/>
                <w:sz w:val="11"/>
                <w:szCs w:val="11"/>
                <w:color w:val="auto"/>
              </w:rPr>
              <w:t>the Last Day of</w:t>
            </w:r>
          </w:p>
        </w:tc>
        <w:tc>
          <w:tcPr>
            <w:tcW w:w="940" w:type="dxa"/>
            <w:vAlign w:val="bottom"/>
            <w:tcBorders>
              <w:right w:val="single" w:sz="8" w:color="auto"/>
            </w:tcBorders>
            <w:shd w:val="clear" w:color="auto" w:fill="DBE5F1"/>
          </w:tcPr>
          <w:p>
            <w:pPr>
              <w:jc w:val="center"/>
              <w:spacing w:after="0" w:line="110" w:lineRule="exact"/>
              <w:rPr>
                <w:sz w:val="20"/>
                <w:szCs w:val="20"/>
                <w:color w:val="auto"/>
              </w:rPr>
            </w:pPr>
            <w:r>
              <w:rPr>
                <w:rFonts w:ascii="Times New Roman" w:cs="Times New Roman" w:eastAsia="Times New Roman" w:hAnsi="Times New Roman"/>
                <w:sz w:val="11"/>
                <w:szCs w:val="11"/>
                <w:color w:val="auto"/>
              </w:rPr>
              <w:t>Resolved During</w:t>
            </w:r>
          </w:p>
        </w:tc>
        <w:tc>
          <w:tcPr>
            <w:tcW w:w="0" w:type="dxa"/>
            <w:vAlign w:val="bottom"/>
          </w:tcPr>
          <w:p>
            <w:pPr>
              <w:spacing w:after="0"/>
              <w:rPr>
                <w:sz w:val="1"/>
                <w:szCs w:val="1"/>
                <w:color w:val="auto"/>
              </w:rPr>
            </w:pPr>
          </w:p>
        </w:tc>
      </w:tr>
      <w:tr>
        <w:trPr>
          <w:trHeight w:val="163"/>
        </w:trPr>
        <w:tc>
          <w:tcPr>
            <w:tcW w:w="1120" w:type="dxa"/>
            <w:vAlign w:val="bottom"/>
            <w:tcBorders>
              <w:left w:val="single" w:sz="8" w:color="auto"/>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1"/>
                <w:szCs w:val="11"/>
                <w:color w:val="auto"/>
              </w:rPr>
              <w:t>(MSHA) ID)</w:t>
            </w:r>
          </w:p>
        </w:tc>
        <w:tc>
          <w:tcPr>
            <w:tcW w:w="90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1"/>
                <w:szCs w:val="11"/>
                <w:color w:val="auto"/>
                <w:w w:val="99"/>
              </w:rPr>
              <w:t>§104(a)</w:t>
            </w:r>
          </w:p>
        </w:tc>
        <w:tc>
          <w:tcPr>
            <w:tcW w:w="74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1"/>
                <w:szCs w:val="11"/>
                <w:color w:val="auto"/>
                <w:w w:val="97"/>
              </w:rPr>
              <w:t>§104(b)</w:t>
            </w:r>
          </w:p>
        </w:tc>
        <w:tc>
          <w:tcPr>
            <w:tcW w:w="102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1"/>
                <w:szCs w:val="11"/>
                <w:color w:val="auto"/>
              </w:rPr>
              <w:t>under §104(d)</w:t>
            </w:r>
          </w:p>
        </w:tc>
        <w:tc>
          <w:tcPr>
            <w:tcW w:w="84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1"/>
                <w:szCs w:val="11"/>
                <w:color w:val="auto"/>
              </w:rPr>
              <w:t>§110(b)(2)</w:t>
            </w:r>
          </w:p>
        </w:tc>
        <w:tc>
          <w:tcPr>
            <w:tcW w:w="940" w:type="dxa"/>
            <w:vAlign w:val="bottom"/>
            <w:tcBorders>
              <w:bottom w:val="single" w:sz="8" w:color="auto"/>
              <w:right w:val="single" w:sz="8" w:color="auto"/>
            </w:tcBorders>
            <w:shd w:val="clear" w:color="auto" w:fill="DBE5F1"/>
          </w:tcPr>
          <w:p>
            <w:pPr>
              <w:jc w:val="center"/>
              <w:ind w:right="3"/>
              <w:spacing w:after="0"/>
              <w:rPr>
                <w:sz w:val="20"/>
                <w:szCs w:val="20"/>
                <w:color w:val="auto"/>
              </w:rPr>
            </w:pPr>
            <w:r>
              <w:rPr>
                <w:rFonts w:ascii="Times New Roman" w:cs="Times New Roman" w:eastAsia="Times New Roman" w:hAnsi="Times New Roman"/>
                <w:sz w:val="11"/>
                <w:szCs w:val="11"/>
                <w:color w:val="auto"/>
              </w:rPr>
              <w:t>under §107(a)</w:t>
            </w:r>
          </w:p>
        </w:tc>
        <w:tc>
          <w:tcPr>
            <w:tcW w:w="94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1"/>
                <w:szCs w:val="11"/>
                <w:color w:val="auto"/>
              </w:rPr>
              <w:t>thousands)</w:t>
            </w:r>
          </w:p>
        </w:tc>
        <w:tc>
          <w:tcPr>
            <w:tcW w:w="94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1"/>
                <w:szCs w:val="11"/>
                <w:color w:val="auto"/>
              </w:rPr>
              <w:t>related fatalities</w:t>
            </w:r>
          </w:p>
        </w:tc>
        <w:tc>
          <w:tcPr>
            <w:tcW w:w="92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1"/>
                <w:szCs w:val="11"/>
                <w:color w:val="auto"/>
              </w:rPr>
              <w:t>§104(e) (yes/no)?</w:t>
            </w:r>
          </w:p>
        </w:tc>
        <w:tc>
          <w:tcPr>
            <w:tcW w:w="96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1"/>
                <w:szCs w:val="11"/>
                <w:color w:val="auto"/>
              </w:rPr>
              <w:t>§104(e) (yes/no)?</w:t>
            </w:r>
          </w:p>
        </w:tc>
        <w:tc>
          <w:tcPr>
            <w:tcW w:w="94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1"/>
                <w:szCs w:val="11"/>
                <w:color w:val="auto"/>
              </w:rPr>
              <w:t>Period</w:t>
            </w:r>
          </w:p>
        </w:tc>
        <w:tc>
          <w:tcPr>
            <w:tcW w:w="94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1"/>
                <w:szCs w:val="11"/>
                <w:color w:val="auto"/>
              </w:rPr>
              <w:t>Period</w:t>
            </w:r>
          </w:p>
        </w:tc>
        <w:tc>
          <w:tcPr>
            <w:tcW w:w="0" w:type="dxa"/>
            <w:vAlign w:val="bottom"/>
          </w:tcPr>
          <w:p>
            <w:pPr>
              <w:spacing w:after="0"/>
              <w:rPr>
                <w:sz w:val="1"/>
                <w:szCs w:val="1"/>
                <w:color w:val="auto"/>
              </w:rPr>
            </w:pPr>
          </w:p>
        </w:tc>
      </w:tr>
      <w:tr>
        <w:trPr>
          <w:trHeight w:val="109"/>
        </w:trPr>
        <w:tc>
          <w:tcPr>
            <w:tcW w:w="1120" w:type="dxa"/>
            <w:vAlign w:val="bottom"/>
            <w:tcBorders>
              <w:left w:val="single" w:sz="8" w:color="auto"/>
              <w:right w:val="single" w:sz="8" w:color="auto"/>
            </w:tcBorders>
          </w:tcPr>
          <w:p>
            <w:pPr>
              <w:jc w:val="center"/>
              <w:spacing w:after="0" w:line="109" w:lineRule="exact"/>
              <w:rPr>
                <w:sz w:val="20"/>
                <w:szCs w:val="20"/>
                <w:color w:val="auto"/>
              </w:rPr>
            </w:pPr>
            <w:r>
              <w:rPr>
                <w:rFonts w:ascii="Times New Roman" w:cs="Times New Roman" w:eastAsia="Times New Roman" w:hAnsi="Times New Roman"/>
                <w:sz w:val="11"/>
                <w:szCs w:val="11"/>
                <w:color w:val="auto"/>
              </w:rPr>
              <w:t>TP Claims</w:t>
            </w:r>
          </w:p>
        </w:tc>
        <w:tc>
          <w:tcPr>
            <w:tcW w:w="9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120" w:type="dxa"/>
            <w:vAlign w:val="bottom"/>
            <w:tcBorders>
              <w:left w:val="single" w:sz="8" w:color="auto"/>
              <w:right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color w:val="auto"/>
              </w:rPr>
              <w:t>1&amp;2/Rosa Blanca</w:t>
            </w:r>
          </w:p>
        </w:tc>
        <w:tc>
          <w:tcPr>
            <w:tcW w:w="9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1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(4100867)</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No</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No</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9"/>
        </w:trPr>
        <w:tc>
          <w:tcPr>
            <w:tcW w:w="1120" w:type="dxa"/>
            <w:vAlign w:val="bottom"/>
            <w:tcBorders>
              <w:left w:val="single" w:sz="8" w:color="auto"/>
              <w:right w:val="single" w:sz="8" w:color="auto"/>
            </w:tcBorders>
          </w:tcPr>
          <w:p>
            <w:pPr>
              <w:jc w:val="center"/>
              <w:spacing w:after="0" w:line="109" w:lineRule="exact"/>
              <w:rPr>
                <w:sz w:val="20"/>
                <w:szCs w:val="20"/>
                <w:color w:val="auto"/>
              </w:rPr>
            </w:pPr>
            <w:r>
              <w:rPr>
                <w:rFonts w:ascii="Times New Roman" w:cs="Times New Roman" w:eastAsia="Times New Roman" w:hAnsi="Times New Roman"/>
                <w:sz w:val="11"/>
                <w:szCs w:val="11"/>
                <w:color w:val="auto"/>
              </w:rPr>
              <w:t>Millsap Shale Mine</w:t>
            </w:r>
          </w:p>
        </w:tc>
        <w:tc>
          <w:tcPr>
            <w:tcW w:w="9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1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(4105120)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No</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No</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60"/>
      </w:cols>
      <w:pgMar w:left="32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lowerLetter"/>
      <w:start w:val="1"/>
    </w:lvl>
  </w:abstractNum>
  <w:abstractNum w:abstractNumId="11">
    <w:nsid w:val="436C6125"/>
    <w:multiLevelType w:val="hybridMultilevel"/>
    <w:lvl w:ilvl="0">
      <w:lvlJc w:val="left"/>
      <w:lvlText w:val="(%1)"/>
      <w:numFmt w:val="lowerLetter"/>
      <w:start w:val="4"/>
    </w:lvl>
  </w:abstractNum>
  <w:abstractNum w:abstractNumId="12">
    <w:nsid w:val="628C895D"/>
    <w:multiLevelType w:val="hybridMultilevel"/>
    <w:lvl w:ilvl="0">
      <w:lvlJc w:val="left"/>
      <w:lvlText w:val="%1."/>
      <w:numFmt w:val="decimal"/>
      <w:start w:val="3"/>
    </w:lvl>
  </w:abstractNum>
  <w:abstractNum w:abstractNumId="13">
    <w:nsid w:val="333AB105"/>
    <w:multiLevelType w:val="hybridMultilevel"/>
    <w:lvl w:ilvl="0">
      <w:lvlJc w:val="left"/>
      <w:lvlText w:val="%1."/>
      <w:numFmt w:val="decimal"/>
      <w:start w:val="4"/>
    </w:lvl>
  </w:abstractNum>
  <w:abstractNum w:abstractNumId="14">
    <w:nsid w:val="721DA317"/>
    <w:multiLevelType w:val="hybridMultilevel"/>
    <w:lvl w:ilvl="0">
      <w:lvlJc w:val="left"/>
      <w:lvlText w:val="%1."/>
      <w:numFmt w:val="decimal"/>
      <w:start w:val="9"/>
    </w:lvl>
  </w:abstractNum>
  <w:abstractNum w:abstractNumId="15">
    <w:nsid w:val="2443A858"/>
    <w:multiLevelType w:val="hybridMultilevel"/>
    <w:lvl w:ilvl="0">
      <w:lvlJc w:val="left"/>
      <w:lvlText w:val="1"/>
      <w:numFmt w:val="bullet"/>
      <w:start w:val="1"/>
    </w:lvl>
  </w:abstractNum>
  <w:abstractNum w:abstractNumId="16">
    <w:nsid w:val="2D1D5AE9"/>
    <w:multiLevelType w:val="hybridMultilevel"/>
    <w:lvl w:ilvl="0">
      <w:lvlJc w:val="left"/>
      <w:lvlText w:val="2"/>
      <w:numFmt w:val="bullet"/>
      <w:start w:val="1"/>
    </w:lvl>
  </w:abstractNum>
  <w:abstractNum w:abstractNumId="17">
    <w:nsid w:val="6763845E"/>
    <w:multiLevelType w:val="hybridMultilevel"/>
    <w:lvl w:ilvl="0">
      <w:lvlJc w:val="left"/>
      <w:lvlText w:val="3"/>
      <w:numFmt w:val="bullet"/>
      <w:start w:val="1"/>
    </w:lvl>
  </w:abstractNum>
  <w:abstractNum w:abstractNumId="18">
    <w:nsid w:val="75A2A8D4"/>
    <w:multiLevelType w:val="hybridMultilevel"/>
    <w:lvl w:ilvl="0">
      <w:lvlJc w:val="left"/>
      <w:lvlText w:val="4"/>
      <w:numFmt w:val="bullet"/>
      <w:start w:val="1"/>
    </w:lvl>
    <w:lvl w:ilvl="1">
      <w:lvlJc w:val="left"/>
      <w:lvlText w:val="(%2)"/>
      <w:numFmt w:val="lowerLetter"/>
      <w:start w:val="1"/>
    </w:lvl>
  </w:abstractNum>
  <w:abstractNum w:abstractNumId="19">
    <w:nsid w:val="8EDBDAB"/>
    <w:multiLevelType w:val="hybridMultilevel"/>
    <w:lvl w:ilvl="0">
      <w:lvlJc w:val="left"/>
      <w:lvlText w:val="5"/>
      <w:numFmt w:val="bullet"/>
      <w:start w:val="1"/>
    </w:lvl>
    <w:lvl w:ilvl="1">
      <w:lvlJc w:val="left"/>
      <w:lvlText w:val="(%2)"/>
      <w:numFmt w:val="lowerLetter"/>
      <w:start w:val="1"/>
    </w:lvl>
  </w:abstractNum>
  <w:abstractNum w:abstractNumId="20">
    <w:nsid w:val="79838CB2"/>
    <w:multiLevelType w:val="hybridMultilevel"/>
    <w:lvl w:ilvl="0">
      <w:lvlJc w:val="left"/>
      <w:lvlText w:val="1"/>
      <w:numFmt w:val="bullet"/>
      <w:start w:val="1"/>
    </w:lvl>
  </w:abstractNum>
  <w:abstractNum w:abstractNumId="21">
    <w:nsid w:val="4353D0CD"/>
    <w:multiLevelType w:val="hybridMultilevel"/>
    <w:lvl w:ilvl="0">
      <w:lvlJc w:val="left"/>
      <w:lvlText w:val="2"/>
      <w:numFmt w:val="bullet"/>
      <w:start w:val="1"/>
    </w:lvl>
  </w:abstractNum>
  <w:abstractNum w:abstractNumId="22">
    <w:nsid w:val="B03E0C6"/>
    <w:multiLevelType w:val="hybridMultilevel"/>
    <w:lvl w:ilvl="0">
      <w:lvlJc w:val="left"/>
      <w:lvlText w:val="3"/>
      <w:numFmt w:val="bullet"/>
      <w:start w:val="1"/>
    </w:lvl>
  </w:abstractNum>
  <w:abstractNum w:abstractNumId="23">
    <w:nsid w:val="189A769B"/>
    <w:multiLevelType w:val="hybridMultilevel"/>
    <w:lvl w:ilvl="0">
      <w:lvlJc w:val="left"/>
      <w:lvlText w:val="4"/>
      <w:numFmt w:val="bullet"/>
      <w:start w:val="1"/>
    </w:lvl>
    <w:lvl w:ilvl="1">
      <w:lvlJc w:val="left"/>
      <w:lvlText w:val="(%2)"/>
      <w:numFmt w:val="lowerLetter"/>
      <w:start w:val="1"/>
    </w:lvl>
  </w:abstractNum>
  <w:abstractNum w:abstractNumId="24">
    <w:nsid w:val="54E49EB4"/>
    <w:multiLevelType w:val="hybridMultilevel"/>
    <w:lvl w:ilvl="0">
      <w:lvlJc w:val="left"/>
      <w:lvlText w:val="5"/>
      <w:numFmt w:val="bullet"/>
      <w:start w:val="1"/>
    </w:lvl>
    <w:lvl w:ilvl="1">
      <w:lvlJc w:val="left"/>
      <w:lvlText w:val="(%2)"/>
      <w:numFmt w:val="lowerLetter"/>
      <w:start w:val="1"/>
    </w:lvl>
  </w:abstractNum>
  <w:abstractNum w:abstractNumId="25">
    <w:nsid w:val="71F32454"/>
    <w:multiLevelType w:val="hybridMultilevel"/>
    <w:lvl w:ilvl="0">
      <w:lvlJc w:val="left"/>
      <w:lvlText w:val="1"/>
      <w:numFmt w:val="bullet"/>
      <w:start w:val="1"/>
    </w:lvl>
  </w:abstractNum>
  <w:abstractNum w:abstractNumId="26">
    <w:nsid w:val="2CA88611"/>
    <w:multiLevelType w:val="hybridMultilevel"/>
    <w:lvl w:ilvl="0">
      <w:lvlJc w:val="left"/>
      <w:lvlText w:val="2"/>
      <w:numFmt w:val="bullet"/>
      <w:start w:val="1"/>
    </w:lvl>
  </w:abstractNum>
  <w:abstractNum w:abstractNumId="27">
    <w:nsid w:val="836C40E"/>
    <w:multiLevelType w:val="hybridMultilevel"/>
    <w:lvl w:ilvl="0">
      <w:lvlJc w:val="left"/>
      <w:lvlText w:val="1"/>
      <w:numFmt w:val="bullet"/>
      <w:start w:val="1"/>
    </w:lvl>
  </w:abstractNum>
  <w:abstractNum w:abstractNumId="28">
    <w:nsid w:val="2901D8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jpe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55" Type="http://schemas.openxmlformats.org/officeDocument/2006/relationships/hyperlink" Target="https://www.sec.gov/Archives/edgar/data/851968/000085196824000127/mhk-202410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2026-10-30T11:33:40Z</dcterms:created>
  <dcterms:modified xsi:type="dcterms:W3CDTF">2026-10-30T11:33:40Z</dcterms:modified>
</cp:coreProperties>
</file>