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184785</wp:posOffset>
            </wp:positionV>
            <wp:extent cx="1499870"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987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MOHAWK INDUSTRIES, INC.</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83" w:lineRule="exact"/>
        <w:rPr>
          <w:sz w:val="24"/>
          <w:szCs w:val="24"/>
          <w:color w:val="auto"/>
        </w:rPr>
      </w:pPr>
    </w:p>
    <w:tbl>
      <w:tblPr>
        <w:tblLayout w:type="fixed"/>
        <w:tblInd w:w="540" w:type="dxa"/>
        <w:tblCellMar>
          <w:top w:w="0" w:type="dxa"/>
          <w:left w:w="0" w:type="dxa"/>
          <w:bottom w:w="0" w:type="dxa"/>
          <w:right w:w="0" w:type="dxa"/>
        </w:tblCellMar>
      </w:tblPr>
      <w:tr>
        <w:trPr>
          <w:trHeight w:val="212"/>
        </w:trPr>
        <w:tc>
          <w:tcPr>
            <w:tcW w:w="3640" w:type="dxa"/>
            <w:vAlign w:val="bottom"/>
          </w:tcPr>
          <w:p>
            <w:pPr>
              <w:jc w:val="center"/>
              <w:ind w:right="68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580" w:type="dxa"/>
            <w:vAlign w:val="bottom"/>
          </w:tcPr>
          <w:p>
            <w:pPr>
              <w:jc w:val="right"/>
              <w:ind w:right="1584"/>
              <w:spacing w:after="0"/>
              <w:rPr>
                <w:sz w:val="20"/>
                <w:szCs w:val="20"/>
                <w:color w:val="auto"/>
              </w:rPr>
            </w:pPr>
            <w:r>
              <w:rPr>
                <w:rFonts w:ascii="Times New Roman" w:cs="Times New Roman" w:eastAsia="Times New Roman" w:hAnsi="Times New Roman"/>
                <w:sz w:val="16"/>
                <w:szCs w:val="16"/>
                <w:b w:val="1"/>
                <w:bCs w:val="1"/>
                <w:color w:val="auto"/>
              </w:rPr>
              <w:t>01-13697</w:t>
            </w:r>
          </w:p>
        </w:tc>
        <w:tc>
          <w:tcPr>
            <w:tcW w:w="224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52-1604305</w:t>
            </w:r>
          </w:p>
        </w:tc>
      </w:tr>
      <w:tr>
        <w:trPr>
          <w:trHeight w:val="157"/>
        </w:trPr>
        <w:tc>
          <w:tcPr>
            <w:tcW w:w="3640" w:type="dxa"/>
            <w:vAlign w:val="bottom"/>
          </w:tcPr>
          <w:p>
            <w:pPr>
              <w:jc w:val="center"/>
              <w:ind w:right="684"/>
              <w:spacing w:after="0" w:line="15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580" w:type="dxa"/>
            <w:vAlign w:val="bottom"/>
          </w:tcPr>
          <w:p>
            <w:pPr>
              <w:jc w:val="center"/>
              <w:ind w:right="284"/>
              <w:spacing w:after="0" w:line="157"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240" w:type="dxa"/>
            <w:vAlign w:val="bottom"/>
          </w:tcPr>
          <w:p>
            <w:pPr>
              <w:jc w:val="center"/>
              <w:ind w:left="1044"/>
              <w:spacing w:after="0" w:line="15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68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580" w:type="dxa"/>
            <w:vAlign w:val="bottom"/>
          </w:tcPr>
          <w:p>
            <w:pPr>
              <w:spacing w:after="0"/>
              <w:rPr>
                <w:sz w:val="16"/>
                <w:szCs w:val="16"/>
                <w:color w:val="auto"/>
              </w:rPr>
            </w:pPr>
          </w:p>
        </w:tc>
        <w:tc>
          <w:tcPr>
            <w:tcW w:w="2240" w:type="dxa"/>
            <w:vAlign w:val="bottom"/>
          </w:tcPr>
          <w:p>
            <w:pPr>
              <w:jc w:val="center"/>
              <w:ind w:left="10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44"/>
        </w:trPr>
        <w:tc>
          <w:tcPr>
            <w:tcW w:w="3640" w:type="dxa"/>
            <w:vAlign w:val="bottom"/>
          </w:tcPr>
          <w:p>
            <w:pPr>
              <w:jc w:val="center"/>
              <w:ind w:right="684"/>
              <w:spacing w:after="0"/>
              <w:rPr>
                <w:sz w:val="20"/>
                <w:szCs w:val="20"/>
                <w:color w:val="auto"/>
              </w:rPr>
            </w:pPr>
            <w:r>
              <w:rPr>
                <w:rFonts w:ascii="Times New Roman" w:cs="Times New Roman" w:eastAsia="Times New Roman" w:hAnsi="Times New Roman"/>
                <w:sz w:val="16"/>
                <w:szCs w:val="16"/>
                <w:b w:val="1"/>
                <w:bCs w:val="1"/>
                <w:color w:val="auto"/>
              </w:rPr>
              <w:t>160 S. Industrial Blvd., Calhoun, Georgia</w:t>
            </w:r>
          </w:p>
        </w:tc>
        <w:tc>
          <w:tcPr>
            <w:tcW w:w="3580" w:type="dxa"/>
            <w:vAlign w:val="bottom"/>
          </w:tcPr>
          <w:p>
            <w:pPr>
              <w:spacing w:after="0"/>
              <w:rPr>
                <w:sz w:val="24"/>
                <w:szCs w:val="24"/>
                <w:color w:val="auto"/>
              </w:rPr>
            </w:pPr>
          </w:p>
        </w:tc>
        <w:tc>
          <w:tcPr>
            <w:tcW w:w="224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30701</w:t>
            </w:r>
          </w:p>
        </w:tc>
      </w:tr>
      <w:tr>
        <w:trPr>
          <w:trHeight w:val="199"/>
        </w:trPr>
        <w:tc>
          <w:tcPr>
            <w:tcW w:w="3640" w:type="dxa"/>
            <w:vAlign w:val="bottom"/>
          </w:tcPr>
          <w:p>
            <w:pPr>
              <w:jc w:val="center"/>
              <w:ind w:right="70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80" w:type="dxa"/>
            <w:vAlign w:val="bottom"/>
          </w:tcPr>
          <w:p>
            <w:pPr>
              <w:spacing w:after="0"/>
              <w:rPr>
                <w:sz w:val="17"/>
                <w:szCs w:val="17"/>
                <w:color w:val="auto"/>
              </w:rPr>
            </w:pPr>
          </w:p>
        </w:tc>
        <w:tc>
          <w:tcPr>
            <w:tcW w:w="2240" w:type="dxa"/>
            <w:vAlign w:val="bottom"/>
          </w:tcPr>
          <w:p>
            <w:pPr>
              <w:jc w:val="center"/>
              <w:ind w:left="104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(706) 629-7721</w:t>
      </w:r>
    </w:p>
    <w:p>
      <w:pPr>
        <w:spacing w:after="0" w:line="200" w:lineRule="exact"/>
        <w:rPr>
          <w:sz w:val="24"/>
          <w:szCs w:val="24"/>
          <w:color w:val="auto"/>
        </w:rPr>
      </w:pPr>
    </w:p>
    <w:p>
      <w:pPr>
        <w:spacing w:after="0" w:line="248" w:lineRule="exact"/>
        <w:rPr>
          <w:sz w:val="24"/>
          <w:szCs w:val="24"/>
          <w:color w:val="auto"/>
        </w:rPr>
      </w:pPr>
    </w:p>
    <w:p>
      <w:pPr>
        <w:jc w:val="center"/>
        <w:ind w:left="360" w:right="3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Securities Act (17 CFR 230.425)</w:t>
      </w:r>
    </w:p>
    <w:p>
      <w:pPr>
        <w:spacing w:after="0" w:line="5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(CFR 240.14d-2(b))</w:t>
      </w:r>
    </w:p>
    <w:p>
      <w:pPr>
        <w:spacing w:after="0" w:line="57"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(CFR 240.17R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40" w:type="dxa"/>
        <w:tblCellMar>
          <w:top w:w="0" w:type="dxa"/>
          <w:left w:w="0" w:type="dxa"/>
          <w:bottom w:w="0" w:type="dxa"/>
          <w:right w:w="0" w:type="dxa"/>
        </w:tblCellMar>
      </w:tblPr>
      <w:tr>
        <w:trPr>
          <w:trHeight w:val="190"/>
        </w:trPr>
        <w:tc>
          <w:tcPr>
            <w:tcW w:w="4260" w:type="dxa"/>
            <w:vAlign w:val="bottom"/>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60" w:type="dxa"/>
            <w:vAlign w:val="bottom"/>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460" w:type="dxa"/>
            <w:vAlign w:val="bottom"/>
          </w:tcPr>
          <w:p>
            <w:pPr>
              <w:jc w:val="center"/>
              <w:ind w:right="28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2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17"/>
        </w:trPr>
        <w:tc>
          <w:tcPr>
            <w:tcW w:w="4260" w:type="dxa"/>
            <w:vAlign w:val="bottom"/>
          </w:tcPr>
          <w:p>
            <w:pPr>
              <w:jc w:val="center"/>
              <w:ind w:left="424"/>
              <w:spacing w:after="0"/>
              <w:rPr>
                <w:sz w:val="20"/>
                <w:szCs w:val="20"/>
                <w:color w:val="auto"/>
              </w:rPr>
            </w:pPr>
            <w:r>
              <w:rPr>
                <w:rFonts w:ascii="Times New Roman" w:cs="Times New Roman" w:eastAsia="Times New Roman" w:hAnsi="Times New Roman"/>
                <w:sz w:val="16"/>
                <w:szCs w:val="16"/>
                <w:b w:val="1"/>
                <w:bCs w:val="1"/>
                <w:color w:val="auto"/>
              </w:rPr>
              <w:t>Common Stock, $.01 par value</w:t>
            </w:r>
          </w:p>
        </w:tc>
        <w:tc>
          <w:tcPr>
            <w:tcW w:w="2460" w:type="dxa"/>
            <w:vAlign w:val="bottom"/>
          </w:tcPr>
          <w:p>
            <w:pPr>
              <w:jc w:val="center"/>
              <w:ind w:left="84"/>
              <w:spacing w:after="0"/>
              <w:rPr>
                <w:sz w:val="20"/>
                <w:szCs w:val="20"/>
                <w:color w:val="auto"/>
              </w:rPr>
            </w:pPr>
            <w:r>
              <w:rPr>
                <w:rFonts w:ascii="Times New Roman" w:cs="Times New Roman" w:eastAsia="Times New Roman" w:hAnsi="Times New Roman"/>
                <w:sz w:val="16"/>
                <w:szCs w:val="16"/>
                <w:b w:val="1"/>
                <w:bCs w:val="1"/>
                <w:color w:val="auto"/>
              </w:rPr>
              <w:t>MHK</w:t>
            </w:r>
          </w:p>
        </w:tc>
        <w:tc>
          <w:tcPr>
            <w:tcW w:w="4460" w:type="dxa"/>
            <w:vAlign w:val="bottom"/>
          </w:tcPr>
          <w:p>
            <w:pPr>
              <w:jc w:val="center"/>
              <w:ind w:right="284"/>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325"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97" w:lineRule="exact"/>
        <w:rPr>
          <w:sz w:val="24"/>
          <w:szCs w:val="24"/>
          <w:color w:val="auto"/>
        </w:rPr>
      </w:pPr>
    </w:p>
    <w:p>
      <w:pPr>
        <w:ind w:right="56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832485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auto"/>
        </w:rPr>
        <w:t>Item 2.02 Results of Operations and Financial Condition.</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29, 2026, Mohawk Industries, Inc. (the “Company”) issued a press release to report the Company’s earnings for the fiscal quarter ended October 3, 2026, which is attached to this report as Exhibit 99.1.</w:t>
      </w:r>
    </w:p>
    <w:p>
      <w:pPr>
        <w:spacing w:after="0" w:line="17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is being furnished pursuant to Item 2.02 and shall not be deemed “filed” for purposes of Section 18 of the Securities Exchange Act of 1934, as amended (the “Exchange Act”), nor shall it be deemed incorporated by reference in any filing under the Securities Act of 1933, as amended (the “Securities Act”), except as shall be expressly set forth by specific reference in such filing.</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7.01 Regulation FD Disclosure.</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29, 2026, the Company issued a press release regarding the share repurchase program described below, which is attached hereto as Exhibit 99.2 and is incorporated herein by reference.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under this caption Item 7.01, including information furnished in Exhibit 99.2, shall not be deemed “filed” for purposes of Section 18 of the Exchange Act, as amended, nor shall it be deemed incorporated by reference in any filing under the Securities Act, except as shall be expressly set forth by specific reference in such filing.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8.01 Other Events.</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29, 2026, the Company announced that its Board of Directors approved a new share repurchase program on October 26, 2026, authorizing the Company to repurchase up to $500 million of its common stock (the “2026 Share Repurchase Program”).</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2026 Share Repurchase Program, the Company may purchase common stock in open market transactions, block or privately negotiated transactions, and may from time to time purchase shares pursuant to a trading plan in accordance with Rule 10b5-1 and Rule 10b-18 under the Exchange Act or by any combination of such methods. The number of shares to be purchased and the timing of the purchases are based on a variety of factors, including, but not limited to, the level of cash balances, credit availability, general business conditions, regulatory requirements, the market price of the Company's stock and the availability of alternative investment opportunities. No time limit was set for completion of repurchases and each of the 2026 Share Repurchase Program may be suspended or discontinued at any time.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99.1 Press release dated October 29, 2026 announcing third quarter 2026 results.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99.2 Press release dated October 29, 2026 announcing the 2026 share repurchase program.</w:t>
      </w:r>
    </w:p>
    <w:p>
      <w:pPr>
        <w:spacing w:after="0"/>
        <w:rPr>
          <w:sz w:val="20"/>
          <w:szCs w:val="20"/>
          <w:color w:val="auto"/>
        </w:rPr>
      </w:pPr>
      <w:r>
        <w:rPr>
          <w:rFonts w:ascii="Times New Roman" w:cs="Times New Roman" w:eastAsia="Times New Roman" w:hAnsi="Times New Roman"/>
          <w:sz w:val="18"/>
          <w:szCs w:val="18"/>
          <w:color w:val="auto"/>
        </w:rPr>
        <w:t>104 Cover Page Interactive Data File (cover page XBRL tags are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78" w:lineRule="exact"/>
        <w:rPr>
          <w:sz w:val="20"/>
          <w:szCs w:val="20"/>
          <w:color w:val="auto"/>
        </w:rPr>
      </w:pPr>
    </w:p>
    <w:p>
      <w:pPr>
        <w:ind w:right="40"/>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Mohawk Industries, Inc.</w:t>
            </w:r>
          </w:p>
        </w:tc>
      </w:tr>
      <w:tr>
        <w:trPr>
          <w:trHeight w:val="297"/>
        </w:trPr>
        <w:tc>
          <w:tcPr>
            <w:tcW w:w="3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Date:  October 29, 2026</w:t>
            </w:r>
          </w:p>
        </w:tc>
        <w:tc>
          <w:tcPr>
            <w:tcW w:w="22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L. Repp</w:t>
            </w:r>
          </w:p>
        </w:tc>
        <w:tc>
          <w:tcPr>
            <w:tcW w:w="140" w:type="dxa"/>
            <w:vAlign w:val="bottom"/>
          </w:tcPr>
          <w:p>
            <w:pPr>
              <w:spacing w:after="0"/>
              <w:rPr>
                <w:sz w:val="24"/>
                <w:szCs w:val="24"/>
                <w:color w:val="auto"/>
              </w:rPr>
            </w:pPr>
          </w:p>
        </w:tc>
      </w:tr>
      <w:tr>
        <w:trPr>
          <w:trHeight w:val="237"/>
        </w:trPr>
        <w:tc>
          <w:tcPr>
            <w:tcW w:w="3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DAVID L. REPP</w:t>
            </w:r>
          </w:p>
        </w:tc>
      </w:tr>
      <w:tr>
        <w:trPr>
          <w:trHeight w:val="270"/>
        </w:trPr>
        <w:tc>
          <w:tcPr>
            <w:tcW w:w="36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5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Chief Accounting Officer and Corporate Controller</w:t>
            </w:r>
          </w:p>
        </w:tc>
      </w:tr>
      <w:tr>
        <w:trPr>
          <w:trHeight w:val="1735"/>
        </w:trPr>
        <w:tc>
          <w:tcPr>
            <w:tcW w:w="36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 w:name="page4"/>
    <w:bookmarkEnd w:id="3"/>
    <w:p>
      <w:pPr>
        <w:ind w:left="4700"/>
        <w:spacing w:after="0"/>
        <w:rPr>
          <w:sz w:val="20"/>
          <w:szCs w:val="20"/>
          <w:color w:val="auto"/>
        </w:rPr>
      </w:pPr>
      <w:r>
        <w:rPr>
          <w:rFonts w:ascii="Times New Roman" w:cs="Times New Roman" w:eastAsia="Times New Roman" w:hAnsi="Times New Roman"/>
          <w:sz w:val="18"/>
          <w:szCs w:val="18"/>
          <w:u w:val="single" w:color="auto"/>
          <w:color w:val="auto"/>
        </w:rPr>
        <w:t>INDEX TO EXHIBITS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w:t>
      </w:r>
    </w:p>
    <w:p>
      <w:pPr>
        <w:spacing w:after="0" w:line="333" w:lineRule="exact"/>
        <w:rPr>
          <w:sz w:val="20"/>
          <w:szCs w:val="20"/>
          <w:color w:val="auto"/>
        </w:rPr>
      </w:pPr>
    </w:p>
    <w:p>
      <w:pPr>
        <w:ind w:left="500"/>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October 29, 2026 announcing third quarter 2026 results.</w:t>
      </w:r>
    </w:p>
    <w:p>
      <w:pPr>
        <w:spacing w:after="0" w:line="63"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FF"/>
        </w:rPr>
        <w:t>Press release dated October 29, 2026 announcing the 2026 share repurchase program.</w:t>
      </w:r>
    </w:p>
    <w:p>
      <w:pPr>
        <w:spacing w:after="0" w:line="36" w:lineRule="exact"/>
        <w:rPr>
          <w:sz w:val="20"/>
          <w:szCs w:val="20"/>
          <w:color w:val="auto"/>
        </w:rPr>
      </w:pPr>
    </w:p>
    <w:p>
      <w:pPr>
        <w:ind w:left="52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(cover page XBRL tags are embedded within the iXBRL document)</w:t>
      </w:r>
    </w:p>
    <w:p>
      <w:pPr>
        <w:sectPr>
          <w:pgSz w:w="11900" w:h="16838" w:orient="portrait"/>
          <w:cols w:equalWidth="0" w:num="1">
            <w:col w:w="10059"/>
          </w:cols>
          <w:pgMar w:left="400" w:top="1161" w:right="1440" w:bottom="1440" w:gutter="0" w:footer="0" w:header="0"/>
        </w:sectPr>
      </w:pPr>
    </w:p>
    <w:bookmarkStart w:id="4" w:name="page5"/>
    <w:bookmarkEnd w:id="4"/>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MOHAWK INDUSTRIES REPORTS Q3 2026 RESULTS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129" w:lineRule="exact"/>
        <w:rPr>
          <w:sz w:val="20"/>
          <w:szCs w:val="20"/>
          <w:color w:val="auto"/>
        </w:rPr>
      </w:pPr>
    </w:p>
    <w:p>
      <w:pPr>
        <w:ind w:left="660" w:hanging="328"/>
        <w:spacing w:after="0" w:line="307"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Q3 2026 Net Sales of $2.8 billion, up approximately 1% with growth in Global Ceramic and Flooring North America; adjusted Net Sales nearly flat with the prior year</w:t>
      </w:r>
    </w:p>
    <w:p>
      <w:pPr>
        <w:ind w:left="660" w:hanging="328"/>
        <w:spacing w:after="0" w:line="307"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Q3 2026 Net Earnings of $163 million or 5.9% of Net Sales; adjusted EBITDA of approximately $353 million, adjusted EBITDA margin of 12.7%</w:t>
      </w: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Q3 2026 Diluted EPS of $2.72, adjusted EPS of $2.72, up approximately 2%</w:t>
      </w:r>
    </w:p>
    <w:p>
      <w:pPr>
        <w:spacing w:after="0" w:line="71" w:lineRule="exact"/>
        <w:rPr>
          <w:rFonts w:ascii="Times New Roman" w:cs="Times New Roman" w:eastAsia="Times New Roman" w:hAnsi="Times New Roman"/>
          <w:sz w:val="22"/>
          <w:szCs w:val="22"/>
          <w:color w:val="auto"/>
        </w:rPr>
      </w:pPr>
    </w:p>
    <w:p>
      <w:pPr>
        <w:ind w:left="660" w:hanging="328"/>
        <w:spacing w:after="0" w:line="307"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Q3 2026 Net Cash Provided by Operating Activities of $471 million; Q3 2026 Free Cash Flow of $390 million; YTD Q3 2026 Free Cash Flow of $626 million up 78%</w:t>
      </w:r>
    </w:p>
    <w:p>
      <w:pPr>
        <w:ind w:left="660" w:hanging="328"/>
        <w:spacing w:after="0" w:line="307"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Returned $261 million to shareholders during the third quarter and $34 million during the fourth quarter, reducing shares outstanding by approximately 4%</w:t>
      </w: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Expecting Q4 2026 Adjusted EPS of $1.35 to $1.45</w:t>
      </w:r>
    </w:p>
    <w:p>
      <w:pPr>
        <w:spacing w:after="0" w:line="3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 xml:space="preserve">Calhoun, Georgia, October 29, 2026 </w:t>
      </w:r>
      <w:r>
        <w:rPr>
          <w:rFonts w:ascii="Times New Roman" w:cs="Times New Roman" w:eastAsia="Times New Roman" w:hAnsi="Times New Roman"/>
          <w:sz w:val="21"/>
          <w:szCs w:val="21"/>
          <w:color w:val="auto"/>
        </w:rPr>
        <w:t>— Mohawk Industries, Inc. (NYSE: MHK), the world’s largest flooring and design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surfaces company, today announced earnings for the third quarter of 2026. Commenting on the Company’s third quarter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performance, Chief Executive Officer Paul De Cock stated, “We delivered a solid third quarter in a weak demand environment.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grew net sales as we executed price increases in response to rising inflation, we offset inflation with price, mix 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productivity, and we are efficiently converting our earnings to strong cash flow. We are returning cash to shareholders, and our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 repurchases in the third quarter were more than double what we completed in the first half of the year. Although we expect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demand conditions to remain challenging and higher costs to persist, our teams are focused on serving our customers 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delivering solid fourth quarter results.”</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THIRD QUARTER 2026 RESULTS</w:t>
      </w:r>
    </w:p>
    <w:p>
      <w:pPr>
        <w:spacing w:after="0" w:line="170" w:lineRule="exact"/>
        <w:rPr>
          <w:sz w:val="20"/>
          <w:szCs w:val="20"/>
          <w:color w:val="auto"/>
        </w:rPr>
      </w:pPr>
    </w:p>
    <w:p>
      <w:pPr>
        <w:jc w:val="both"/>
        <w:ind w:firstLine="648"/>
        <w:spacing w:after="0" w:line="412" w:lineRule="auto"/>
        <w:rPr>
          <w:sz w:val="20"/>
          <w:szCs w:val="20"/>
          <w:color w:val="auto"/>
        </w:rPr>
      </w:pPr>
      <w:r>
        <w:rPr>
          <w:rFonts w:ascii="Times New Roman" w:cs="Times New Roman" w:eastAsia="Times New Roman" w:hAnsi="Times New Roman"/>
          <w:sz w:val="22"/>
          <w:szCs w:val="22"/>
          <w:color w:val="auto"/>
        </w:rPr>
        <w:t>Net sales for the third quarter of 2026 were $2.8 billion, up approximately 1% and approximately flat on an adjusted basis. An additional shipping day benefitted sales by approximately 1%. Volumes declined approximately 4% on an adjusted basis, primarily due to soft market demand. Price and mix improved sequentially and contributed approximately 4% to sales growth, benefitting from price increases taken to offset the impacts of inflation, along with positive mix. Net earnings were $163 million or 5.9% of net sales and adjusted EBITDA was approximately $353 million, with an adjusted EBITDA margin of 12.7%. Operating income was $188 million, up approximately $51 million from prior year, and adjusted operating income was $200 million, down approximately $5 million versus the prior year, primarily due to lower volume and higher inflation. Price, mix and productivity collectively of approximately $132 million more than offset higher underlying inflation of approximately $117 million. Diluted EPS for the third quarter of 2026 was $2.72, up approximately 55%, and adjusted EPS was $2.72, up approximately 2%, with operating results in line with the Company’s guidance assumptions.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SEGMENT RESULTS</w:t>
      </w:r>
    </w:p>
    <w:p>
      <w:pPr>
        <w:spacing w:after="0" w:line="166" w:lineRule="exact"/>
        <w:rPr>
          <w:sz w:val="20"/>
          <w:szCs w:val="20"/>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b w:val="1"/>
          <w:bCs w:val="1"/>
          <w:color w:val="auto"/>
        </w:rPr>
        <w:t xml:space="preserve">Global Ceramic: </w:t>
      </w:r>
      <w:r>
        <w:rPr>
          <w:rFonts w:ascii="Times New Roman" w:cs="Times New Roman" w:eastAsia="Times New Roman" w:hAnsi="Times New Roman"/>
          <w:sz w:val="22"/>
          <w:szCs w:val="22"/>
          <w:color w:val="auto"/>
        </w:rPr>
        <w:t>Net sales were $1.1 billion, up approximately 2% and up approximately 1% on an adjusted basis.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Currency was slightly favorable and an additional shipping day benefitted sales by approximately 1%. Excluding the benefit of the additional shipping day, volumes were down approximately 1%, and price and mix contributed approximately 2%, benefitting from price and other actions in response to higher inflation, as well as mix. Global Ceramic operating income was $66 million, or 5.8% of net sales, down approximately $6 million from the prior year. Adjusted operating income was $74 million, down $16 million versus the prior year, as higher underlying inflation and lower volumes were partially offset by productivity and price and mix.</w:t>
      </w:r>
    </w:p>
    <w:p>
      <w:pPr>
        <w:spacing w:after="0" w:line="6" w:lineRule="exact"/>
        <w:rPr>
          <w:sz w:val="20"/>
          <w:szCs w:val="20"/>
          <w:color w:val="auto"/>
        </w:rPr>
      </w:pPr>
    </w:p>
    <w:p>
      <w:pPr>
        <w:jc w:val="both"/>
        <w:ind w:firstLine="648"/>
        <w:spacing w:after="0" w:line="416" w:lineRule="auto"/>
        <w:rPr>
          <w:sz w:val="20"/>
          <w:szCs w:val="20"/>
          <w:color w:val="auto"/>
        </w:rPr>
      </w:pPr>
      <w:r>
        <w:rPr>
          <w:rFonts w:ascii="Times New Roman" w:cs="Times New Roman" w:eastAsia="Times New Roman" w:hAnsi="Times New Roman"/>
          <w:sz w:val="22"/>
          <w:szCs w:val="22"/>
          <w:b w:val="1"/>
          <w:bCs w:val="1"/>
          <w:color w:val="auto"/>
        </w:rPr>
        <w:t xml:space="preserve">Flooring North America: </w:t>
      </w:r>
      <w:r>
        <w:rPr>
          <w:rFonts w:ascii="Times New Roman" w:cs="Times New Roman" w:eastAsia="Times New Roman" w:hAnsi="Times New Roman"/>
          <w:sz w:val="22"/>
          <w:szCs w:val="22"/>
          <w:color w:val="auto"/>
        </w:rPr>
        <w:t>Net sales were $950 million, up approximately 1% and approximately flat on an adjusted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basis. An additional shipping day benefitted sales by approximately 2%. Excluding the benefit of the additional shipping day, volumes declined approximately 3% and price and mix contributed approximately 3%, benefitting from price and other actions in response to higher inflation, as well as mix. Flooring North America operating income was $72 million or 7.6% of net sales, up approximately $18 million from the prior year. Adjusted operating income was $77 million, up $9 million, primarily due to productivity, price and mix partially offset by lower volumes and higher underlying inflation.</w:t>
      </w:r>
    </w:p>
    <w:p>
      <w:pPr>
        <w:sectPr>
          <w:pgSz w:w="11900" w:h="16838" w:orient="portrait"/>
          <w:cols w:equalWidth="0" w:num="1">
            <w:col w:w="11240"/>
          </w:cols>
          <w:pgMar w:left="320" w:top="851" w:right="339" w:bottom="1440" w:gutter="0" w:footer="0" w:header="0"/>
        </w:sectPr>
      </w:pPr>
    </w:p>
    <w:bookmarkStart w:id="6" w:name="page7"/>
    <w:bookmarkEnd w:id="6"/>
    <w:p>
      <w:pPr>
        <w:jc w:val="both"/>
        <w:ind w:firstLine="648"/>
        <w:spacing w:after="0" w:line="415" w:lineRule="auto"/>
        <w:rPr>
          <w:sz w:val="20"/>
          <w:szCs w:val="20"/>
          <w:color w:val="auto"/>
        </w:rPr>
      </w:pPr>
      <w:r>
        <w:rPr>
          <w:rFonts w:ascii="Times New Roman" w:cs="Times New Roman" w:eastAsia="Times New Roman" w:hAnsi="Times New Roman"/>
          <w:sz w:val="22"/>
          <w:szCs w:val="22"/>
          <w:b w:val="1"/>
          <w:bCs w:val="1"/>
          <w:color w:val="auto"/>
        </w:rPr>
        <w:t xml:space="preserve">Flooring Rest of the World: </w:t>
      </w:r>
      <w:r>
        <w:rPr>
          <w:rFonts w:ascii="Times New Roman" w:cs="Times New Roman" w:eastAsia="Times New Roman" w:hAnsi="Times New Roman"/>
          <w:sz w:val="22"/>
          <w:szCs w:val="22"/>
          <w:color w:val="auto"/>
        </w:rPr>
        <w:t>Net sales were $707 million, down approximately 1% as reported; unfavorable currency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was less than 1% and an additional shipping day benefitted sales by approximately 2%. Adjusted net sales declined approximately 2%, with volumes down approximately 10%, primarily due to soft market demand across categories. Price and mix was up approximately 7%, a sequential improvement benefitting from price increases implemented earlier in the year to offset the impact of higher inflation. Flooring Rest of the World operating income was $66 million or 9.3% of net sales, up approximately $22 million from the prior year. Adjusted operating income was $66 million, up $6 million, driven by favorable price and mix partially offset by higher inflation and lower volumes.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FLOW AND CAPITAL DEPLOYMENT</w:t>
      </w:r>
    </w:p>
    <w:p>
      <w:pPr>
        <w:spacing w:after="0" w:line="170" w:lineRule="exact"/>
        <w:rPr>
          <w:sz w:val="20"/>
          <w:szCs w:val="20"/>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For the three months ended October 3, 2026, cash from operations was $471 million and capital expenditures were $81 million, resulting in free cash flow of $390 million. For the nine months ended October 3, 2026, free cash flow was $626 million. The Company now anticipates full-year capital expenditures of approximately $445 million versus its previous expectation of $460 million, and expects free cash flow during the fourth quarter of 2026 to follow typical seasonality.</w:t>
      </w:r>
    </w:p>
    <w:p>
      <w:pPr>
        <w:spacing w:after="0" w:line="4" w:lineRule="exact"/>
        <w:rPr>
          <w:sz w:val="20"/>
          <w:szCs w:val="20"/>
          <w:color w:val="auto"/>
        </w:rPr>
      </w:pPr>
    </w:p>
    <w:p>
      <w:pPr>
        <w:jc w:val="both"/>
        <w:ind w:firstLine="648"/>
        <w:spacing w:after="0" w:line="415" w:lineRule="auto"/>
        <w:rPr>
          <w:sz w:val="20"/>
          <w:szCs w:val="20"/>
          <w:color w:val="auto"/>
        </w:rPr>
      </w:pPr>
      <w:r>
        <w:rPr>
          <w:rFonts w:ascii="Times New Roman" w:cs="Times New Roman" w:eastAsia="Times New Roman" w:hAnsi="Times New Roman"/>
          <w:sz w:val="22"/>
          <w:szCs w:val="22"/>
          <w:color w:val="auto"/>
        </w:rPr>
        <w:t>During the third quarter, the Company repurchased 2.0 million shares, returning $261 million of cash to shareholders and reducing outstanding shares by more than 3%. To date during the fourth quarter, the Company returned an additional $34 million to shareholders, bringing the reduction to approximately 4% during the second half of the year and completing the Company’s previous share repurchase authorization. The Company's Board of Directors has authorized a new share repurchase program of up to $500 million, which is described, together with the Company's strategic framework and capital deployment priorities, in a separate press release, issued today. Net debt to adjusted EBITDA ended the quarter at 0.7x.</w:t>
      </w:r>
    </w:p>
    <w:p>
      <w:pPr>
        <w:sectPr>
          <w:pgSz w:w="11900" w:h="16838" w:orient="portrait"/>
          <w:cols w:equalWidth="0" w:num="1">
            <w:col w:w="11240"/>
          </w:cols>
          <w:pgMar w:left="320" w:top="85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FOURTH QUARTER 2026 OUTLOOK &amp; GUIDANCE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Looking ahead to the fourth quarter, which has four fewer shipping days versus the prior year and three fewer shipping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days versus the third quarter of the current year, the Company assumes flooring market conditions will be softer relative to the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third quarter and expects low single-digit growth in adjusted net sales versus the prior year. Management also anticipates that the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underlying cost of sales inflation headwind on a year-over-year basis will be similar to the third quarter and expects to fully offset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through pricing, mix and productivity. Given management's current input cost expectations and actions to date,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expects a similar dynamic in the first quarter of 2027. For the fourth quarter of 2026, the Company expects adjusted EPS in the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range of $1.35 to $1.45. Assumptions included in the Company’s guidance are:</w:t>
      </w:r>
    </w:p>
    <w:p>
      <w:pPr>
        <w:spacing w:after="0" w:line="1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Net Interest Expense of approximately $4 to $5 million</w:t>
      </w:r>
    </w:p>
    <w:p>
      <w:pPr>
        <w:spacing w:after="0" w:line="7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Depreciation &amp; Amortization Expense of approximately $148 million</w:t>
      </w:r>
    </w:p>
    <w:p>
      <w:pPr>
        <w:spacing w:after="0" w:line="7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Tax Rate of approximately 23.5%</w:t>
      </w:r>
    </w:p>
    <w:p>
      <w:pPr>
        <w:spacing w:after="0" w:line="7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Weighted Average Diluted Share Count of approximately 58.5 million</w:t>
      </w:r>
    </w:p>
    <w:p>
      <w:pPr>
        <w:sectPr>
          <w:pgSz w:w="11900" w:h="16838" w:orient="portrait"/>
          <w:cols w:equalWidth="0" w:num="1">
            <w:col w:w="11240"/>
          </w:cols>
          <w:pgMar w:left="320" w:top="85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ABOUT MOHAWK INDUSTRIES</w:t>
      </w:r>
    </w:p>
    <w:p>
      <w:pPr>
        <w:spacing w:after="0" w:line="8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Over the past two decades, Mohawk Industries has transformed its business into the world’s largest flooring and design surfaces company with leading positions in North America, Europe, South America and Oceania. Mohawk’s vertically integrated manufacturing and distribution operations provide a competitive advantage in the production of ceramic tile, carpet and laminate, wood, vinyl and hybrid flooring products. Mohawk’s industry-leading innovation has yielded designs and performance enhancements that differentiate its collections in the marketplace and satisfy all residential and commercial remodeling and new construction requirements. The Company’s brands are among the most recognized and respected in the industry and include American Olean, Daltile, Durkan, Eliane, Elizabeth, Feltex, Godfrey Hirst, Karastan, Marazzi, Mohawk, Mohawk Group, Mohawk Home, Mohawk Performance Accessories, Pergo, Quick-Step, Unilin and Vitromex.</w:t>
      </w:r>
    </w:p>
    <w:p>
      <w:pPr>
        <w:spacing w:after="0" w:line="19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Certain of the statements in this press release, particularly those anticipating future performance, business prospects, growth and operating strategies, and similar matters, and those that include the words “could,” “should,” “believes,” “anticipates,” “expects” and “estimates” or similar expressions constitute “forward-looking statements” within the meaning of Section 27A of the Securities Act of 1933, as amended, and Section 21E of the Securities Exchange Act of 1934, as amended. For those statements, Mohawk Industries, Inc. (“Mohawk” or the “Company”) claims the protection of the safe harbor for forward-looking statements contained in the Private Securities Litigation Reform Act of 1995. Management believes that these forward-looking statements are reasonable as and when made; however, caution should be taken not to place undue reliance on any such forward-looking statements because such statements speak only as of the date when made. The Company undertakes no obligation to publicly update or revise any forward-looking statements, whether as a result of new information, future events or otherwise, except as required by law. There can be no assurance that the forward-looking statements will be accurate because they are based on many assumptions, which involve risks and uncertainties. Important factors that could cause future results to differ from historical experience and our present expectations or projections include, but are not limited to, the following: changes in economic or industry conditions, including interest rates, availability of credit and residential and commercial construction and remodeling activity; the impact of tariffs and other trade restrictions; competition; inflation and deflation in raw material prices, freight and other input costs; inflation and deflation in consumer markets; currency fluctuations; rising energy costs and changes in the level of supply thereof; supply chain disruption and the availability of raw materials and sourced products; labor availability and costs; timing and level of capital expenditures; timing and implementation of price increases for the Company’s products; impairment charges; identification and consummation of acquisitions on favorable terms, if at all; integration of acquisitions; international operations; introduction of new products; rationalization of operations; tax and tax reform, product and other claims; litigation; geopolitical conflicts; sanctions and import and export restrictions; regulatory and political changes in the jurisdictions in which the Company does business; security breaches and other cybersecurity incidents; emerging issues related to the Company's integration and use of AI; and other risks identified in Mohawk’s United States Securities and Exchange Commission reports and public announcements.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Conference call Friday, October 30, 2026, at 11:00 AM Eastern Time</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To participate in the conference call via the Internet, please visit </w:t>
      </w:r>
      <w:r>
        <w:rPr>
          <w:rFonts w:ascii="Times New Roman" w:cs="Times New Roman" w:eastAsia="Times New Roman" w:hAnsi="Times New Roman"/>
          <w:sz w:val="20"/>
          <w:szCs w:val="20"/>
          <w:b w:val="1"/>
          <w:bCs w:val="1"/>
          <w:color w:val="auto"/>
        </w:rPr>
        <w:t>https://ir.mohawkind.com/events/event-details/mohawk-industries-inc-3rd-quarter-2026-earnings-call</w:t>
      </w:r>
      <w:r>
        <w:rPr>
          <w:rFonts w:ascii="Times New Roman" w:cs="Times New Roman" w:eastAsia="Times New Roman" w:hAnsi="Times New Roman"/>
          <w:sz w:val="20"/>
          <w:szCs w:val="20"/>
          <w:color w:val="auto"/>
        </w:rPr>
        <w:t>. To participate in the conference call via telephone, register in advance at</w:t>
      </w:r>
      <w:r>
        <w:rPr>
          <w:rFonts w:ascii="Times New Roman" w:cs="Times New Roman" w:eastAsia="Times New Roman" w:hAnsi="Times New Roman"/>
          <w:sz w:val="20"/>
          <w:szCs w:val="20"/>
          <w:b w:val="1"/>
          <w:bCs w:val="1"/>
          <w:color w:val="auto"/>
        </w:rPr>
        <w:t xml:space="preserve"> https://dpregister.com/sreg/10211917/104de4a22d1 </w:t>
      </w:r>
      <w:r>
        <w:rPr>
          <w:rFonts w:ascii="Times New Roman" w:cs="Times New Roman" w:eastAsia="Times New Roman" w:hAnsi="Times New Roman"/>
          <w:sz w:val="20"/>
          <w:szCs w:val="20"/>
          <w:color w:val="auto"/>
        </w:rPr>
        <w:t>to receive a unique personal identification number. You may also dial 1-833-630-1962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(U.S./Canada) or 1-412-317-1843 (international) on the day of the call for operator assistance. For those unable to listen at the designated time, the call will remain available for replay through November 27, 2026, by dialing 1-855-669-9658 (U.S./Canada) or 1-412-317-0088 (international) and entering Replay Access Code 7228212. The call will be archived and available for replay for one year under the “Investors” tab of mohawkind.com.</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Joe Ahlersmeyer, CFA</w:t>
      </w:r>
    </w:p>
    <w:p>
      <w:pPr>
        <w:spacing w:after="0" w:line="204" w:lineRule="auto"/>
        <w:rPr>
          <w:sz w:val="20"/>
          <w:szCs w:val="20"/>
          <w:color w:val="auto"/>
        </w:rPr>
      </w:pPr>
      <w:r>
        <w:rPr>
          <w:rFonts w:ascii="Times New Roman" w:cs="Times New Roman" w:eastAsia="Times New Roman" w:hAnsi="Times New Roman"/>
          <w:sz w:val="22"/>
          <w:szCs w:val="22"/>
          <w:color w:val="auto"/>
        </w:rPr>
        <w:t>VP, Finance &amp; Investor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joe_ahlersmeyer@mohawkind.com</w:t>
      </w:r>
    </w:p>
    <w:p>
      <w:pPr>
        <w:sectPr>
          <w:pgSz w:w="11900" w:h="16838" w:orient="portrait"/>
          <w:cols w:equalWidth="0" w:num="1">
            <w:col w:w="11240"/>
          </w:cols>
          <w:pgMar w:left="320" w:top="85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8440" w:type="dxa"/>
            <w:vAlign w:val="bottom"/>
            <w:gridSpan w:val="6"/>
          </w:tcPr>
          <w:p>
            <w:pPr>
              <w:jc w:val="center"/>
              <w:ind w:left="2711"/>
              <w:spacing w:after="0"/>
              <w:rPr>
                <w:sz w:val="20"/>
                <w:szCs w:val="20"/>
                <w:color w:val="auto"/>
              </w:rPr>
            </w:pPr>
            <w:r>
              <w:rPr>
                <w:rFonts w:ascii="Times New Roman" w:cs="Times New Roman" w:eastAsia="Times New Roman" w:hAnsi="Times New Roman"/>
                <w:sz w:val="18"/>
                <w:szCs w:val="18"/>
                <w:b w:val="1"/>
                <w:bCs w:val="1"/>
                <w:color w:val="auto"/>
                <w:w w:val="99"/>
              </w:rPr>
              <w:t>MOHAWK INDUSTRIES, INC. AND SUBSIDIARIES</w:t>
            </w:r>
          </w:p>
        </w:tc>
        <w:tc>
          <w:tcPr>
            <w:tcW w:w="1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40" w:type="dxa"/>
            <w:vAlign w:val="bottom"/>
            <w:gridSpan w:val="6"/>
          </w:tcPr>
          <w:p>
            <w:pPr>
              <w:jc w:val="center"/>
              <w:ind w:left="2731"/>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rPr>
              <w:t>(Unaudited)</w:t>
            </w: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gridSpan w:val="4"/>
          </w:tcPr>
          <w:p>
            <w:pPr>
              <w:jc w:val="center"/>
              <w:ind w:right="8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800" w:type="dxa"/>
            <w:vAlign w:val="bottom"/>
            <w:tcBorders>
              <w:bottom w:val="single" w:sz="8" w:color="auto"/>
            </w:tcBorders>
            <w:gridSpan w:val="2"/>
          </w:tcPr>
          <w:p>
            <w:pPr>
              <w:jc w:val="right"/>
              <w:ind w:right="812"/>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86"/>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34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9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September 27, 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27, 2025</w:t>
            </w:r>
          </w:p>
        </w:tc>
        <w:tc>
          <w:tcPr>
            <w:tcW w:w="0" w:type="dxa"/>
            <w:vAlign w:val="bottom"/>
          </w:tcPr>
          <w:p>
            <w:pPr>
              <w:spacing w:after="0"/>
              <w:rPr>
                <w:sz w:val="1"/>
                <w:szCs w:val="1"/>
                <w:color w:val="auto"/>
              </w:rPr>
            </w:pPr>
          </w:p>
        </w:tc>
      </w:tr>
      <w:tr>
        <w:trPr>
          <w:trHeight w:val="23"/>
        </w:trPr>
        <w:tc>
          <w:tcPr>
            <w:tcW w:w="4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2,786.0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2,757.9</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8,506.1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8,085.7</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2,076.3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6,359.3</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6,133.2</w:t>
            </w: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709.7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2,146.8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1,952.5</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522.0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1,593.5</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187.7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50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3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340" w:type="dxa"/>
            <w:vAlign w:val="bottom"/>
          </w:tcPr>
          <w:p>
            <w:pPr>
              <w:spacing w:after="0"/>
              <w:rPr>
                <w:sz w:val="20"/>
                <w:szCs w:val="20"/>
                <w:color w:val="auto"/>
              </w:rPr>
            </w:pPr>
          </w:p>
        </w:tc>
        <w:tc>
          <w:tcPr>
            <w:tcW w:w="150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183.3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540.1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3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including noncontrolling interests</w:t>
            </w:r>
          </w:p>
        </w:tc>
        <w:tc>
          <w:tcPr>
            <w:tcW w:w="340" w:type="dxa"/>
            <w:vAlign w:val="bottom"/>
          </w:tcPr>
          <w:p>
            <w:pPr>
              <w:spacing w:after="0"/>
              <w:rPr>
                <w:sz w:val="20"/>
                <w:szCs w:val="20"/>
                <w:color w:val="auto"/>
              </w:rPr>
            </w:pPr>
          </w:p>
        </w:tc>
        <w:tc>
          <w:tcPr>
            <w:tcW w:w="150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163.2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476.5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interests</w:t>
            </w:r>
          </w:p>
        </w:tc>
        <w:tc>
          <w:tcPr>
            <w:tcW w:w="3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0.1</w:t>
            </w:r>
          </w:p>
        </w:tc>
        <w:tc>
          <w:tcPr>
            <w:tcW w:w="1980" w:type="dxa"/>
            <w:vAlign w:val="bottom"/>
            <w:tcBorders>
              <w:bottom w:val="single" w:sz="8" w:color="auto"/>
            </w:tcBorders>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Mohawk Industries, Inc.</w:t>
            </w:r>
          </w:p>
        </w:tc>
        <w:tc>
          <w:tcPr>
            <w:tcW w:w="3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163.1</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476.4</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Basic earnings per share attributable to Mohawk</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Industries, Inc.</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2.73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7.86</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 - basic</w:t>
            </w:r>
          </w:p>
        </w:tc>
        <w:tc>
          <w:tcPr>
            <w:tcW w:w="3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59.8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56"/>
        </w:trPr>
        <w:tc>
          <w:tcPr>
            <w:tcW w:w="4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Diluted earnings per share attributable to Mohawk</w:t>
            </w:r>
          </w:p>
        </w:tc>
        <w:tc>
          <w:tcPr>
            <w:tcW w:w="3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Industries, Inc.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2.72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 - diluted</w:t>
            </w:r>
          </w:p>
        </w:tc>
        <w:tc>
          <w:tcPr>
            <w:tcW w:w="3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60.0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851"/>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Information</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gridSpan w:val="4"/>
          </w:tcPr>
          <w:p>
            <w:pPr>
              <w:jc w:val="center"/>
              <w:ind w:right="880"/>
              <w:spacing w:after="0"/>
              <w:rPr>
                <w:sz w:val="20"/>
                <w:szCs w:val="20"/>
                <w:color w:val="auto"/>
              </w:rPr>
            </w:pPr>
            <w:r>
              <w:rPr>
                <w:rFonts w:ascii="Times New Roman" w:cs="Times New Roman" w:eastAsia="Times New Roman" w:hAnsi="Times New Roman"/>
                <w:sz w:val="14"/>
                <w:szCs w:val="14"/>
                <w:color w:val="auto"/>
              </w:rPr>
              <w:t>Three Months Ended</w:t>
            </w:r>
          </w:p>
        </w:tc>
        <w:tc>
          <w:tcPr>
            <w:tcW w:w="2800" w:type="dxa"/>
            <w:vAlign w:val="bottom"/>
            <w:gridSpan w:val="2"/>
          </w:tcPr>
          <w:p>
            <w:pPr>
              <w:jc w:val="right"/>
              <w:ind w:right="952"/>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9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September 27, 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27, 2025</w:t>
            </w:r>
          </w:p>
        </w:tc>
        <w:tc>
          <w:tcPr>
            <w:tcW w:w="0" w:type="dxa"/>
            <w:vAlign w:val="bottom"/>
          </w:tcPr>
          <w:p>
            <w:pPr>
              <w:spacing w:after="0"/>
              <w:rPr>
                <w:sz w:val="1"/>
                <w:szCs w:val="1"/>
                <w:color w:val="auto"/>
              </w:rPr>
            </w:pPr>
          </w:p>
        </w:tc>
      </w:tr>
      <w:tr>
        <w:trPr>
          <w:trHeight w:val="23"/>
        </w:trPr>
        <w:tc>
          <w:tcPr>
            <w:tcW w:w="4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471.2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897.8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3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80.8</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271.5</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0" w:type="dxa"/>
            <w:vAlign w:val="bottom"/>
          </w:tcPr>
          <w:p>
            <w:pPr>
              <w:spacing w:after="0"/>
              <w:rPr>
                <w:sz w:val="1"/>
                <w:szCs w:val="1"/>
                <w:color w:val="auto"/>
              </w:rPr>
            </w:pPr>
          </w:p>
        </w:tc>
      </w:tr>
      <w:tr>
        <w:trPr>
          <w:trHeight w:val="244"/>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390.4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626.3</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0" w:type="dxa"/>
            <w:vAlign w:val="bottom"/>
          </w:tcPr>
          <w:p>
            <w:pPr>
              <w:spacing w:after="0"/>
              <w:rPr>
                <w:sz w:val="1"/>
                <w:szCs w:val="1"/>
                <w:color w:val="auto"/>
              </w:rPr>
            </w:pPr>
          </w:p>
        </w:tc>
      </w:tr>
      <w:tr>
        <w:trPr>
          <w:trHeight w:val="256"/>
        </w:trPr>
        <w:tc>
          <w:tcPr>
            <w:tcW w:w="4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151.3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492.5</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0" w:type="dxa"/>
            <w:vAlign w:val="bottom"/>
          </w:tcPr>
          <w:p>
            <w:pPr>
              <w:spacing w:after="0"/>
              <w:rPr>
                <w:sz w:val="1"/>
                <w:szCs w:val="1"/>
                <w:color w:val="auto"/>
              </w:rPr>
            </w:pPr>
          </w:p>
        </w:tc>
      </w:tr>
    </w:tbl>
    <w:p>
      <w:pPr>
        <w:sectPr>
          <w:pgSz w:w="11900" w:h="16838" w:orient="portrait"/>
          <w:cols w:equalWidth="0" w:num="1">
            <w:col w:w="11240"/>
          </w:cols>
          <w:pgMar w:left="320" w:top="94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MOHAWK INDUSTRIES, INC. AND SUBSIDIARIES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60" w:type="dxa"/>
            <w:vAlign w:val="bottom"/>
          </w:tcPr>
          <w:p>
            <w:pPr>
              <w:spacing w:after="0"/>
              <w:rPr>
                <w:sz w:val="16"/>
                <w:szCs w:val="16"/>
                <w:color w:val="auto"/>
              </w:rPr>
            </w:pPr>
          </w:p>
        </w:tc>
        <w:tc>
          <w:tcPr>
            <w:tcW w:w="15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3"/>
        </w:trPr>
        <w:tc>
          <w:tcPr>
            <w:tcW w:w="59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5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816.8</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w:t>
            </w:r>
          </w:p>
        </w:tc>
      </w:tr>
      <w:tr>
        <w:trPr>
          <w:trHeight w:val="243"/>
        </w:trPr>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2260" w:type="dxa"/>
            <w:vAlign w:val="bottom"/>
          </w:tcPr>
          <w:p>
            <w:pPr>
              <w:spacing w:after="0"/>
              <w:rPr>
                <w:sz w:val="21"/>
                <w:szCs w:val="21"/>
                <w:color w:val="auto"/>
              </w:rPr>
            </w:pPr>
          </w:p>
        </w:tc>
        <w:tc>
          <w:tcPr>
            <w:tcW w:w="152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2,125.0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1,924.1</w:t>
            </w:r>
          </w:p>
        </w:tc>
      </w:tr>
      <w:tr>
        <w:trPr>
          <w:trHeight w:val="243"/>
        </w:trPr>
        <w:tc>
          <w:tcPr>
            <w:tcW w:w="5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2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2,591.6</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w:t>
            </w:r>
          </w:p>
        </w:tc>
      </w:tr>
      <w:tr>
        <w:trPr>
          <w:trHeight w:val="243"/>
        </w:trPr>
        <w:tc>
          <w:tcPr>
            <w:tcW w:w="5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539.8</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525.2</w:t>
            </w:r>
          </w:p>
        </w:tc>
      </w:tr>
      <w:tr>
        <w:trPr>
          <w:trHeight w:val="23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6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6,073.2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5,967.1</w:t>
            </w: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60" w:type="dxa"/>
            <w:vAlign w:val="bottom"/>
          </w:tcPr>
          <w:p>
            <w:pPr>
              <w:spacing w:after="0"/>
              <w:rPr>
                <w:sz w:val="21"/>
                <w:szCs w:val="21"/>
                <w:color w:val="auto"/>
              </w:rPr>
            </w:pPr>
          </w:p>
        </w:tc>
        <w:tc>
          <w:tcPr>
            <w:tcW w:w="152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4,491.4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4,772.0</w:t>
            </w:r>
          </w:p>
        </w:tc>
      </w:tr>
      <w:tr>
        <w:trPr>
          <w:trHeight w:val="24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22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409.8</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60" w:type="dxa"/>
            <w:vAlign w:val="bottom"/>
          </w:tcPr>
          <w:p>
            <w:pPr>
              <w:spacing w:after="0"/>
              <w:rPr>
                <w:sz w:val="21"/>
                <w:szCs w:val="21"/>
                <w:color w:val="auto"/>
              </w:rPr>
            </w:pPr>
          </w:p>
        </w:tc>
        <w:tc>
          <w:tcPr>
            <w:tcW w:w="152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1,171.0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1,210.3</w:t>
            </w:r>
          </w:p>
        </w:tc>
      </w:tr>
      <w:tr>
        <w:trPr>
          <w:trHeight w:val="24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782.5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r>
      <w:tr>
        <w:trPr>
          <w:trHeight w:val="24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non-current assets</w:t>
            </w:r>
          </w:p>
        </w:tc>
        <w:tc>
          <w:tcPr>
            <w:tcW w:w="2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507.2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w:t>
            </w:r>
          </w:p>
        </w:tc>
      </w:tr>
      <w:tr>
        <w:trPr>
          <w:trHeight w:val="243"/>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13,435.1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13,687.3</w:t>
            </w: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43"/>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2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621.9</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r>
      <w:tr>
        <w:trPr>
          <w:trHeight w:val="243"/>
        </w:trPr>
        <w:tc>
          <w:tcPr>
            <w:tcW w:w="5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2,442.5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2,310.4</w:t>
            </w:r>
          </w:p>
        </w:tc>
      </w:tr>
      <w:tr>
        <w:trPr>
          <w:trHeight w:val="243"/>
        </w:trPr>
        <w:tc>
          <w:tcPr>
            <w:tcW w:w="5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116.7</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3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6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3,181.1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2,722.1</w:t>
            </w: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260" w:type="dxa"/>
            <w:vAlign w:val="bottom"/>
          </w:tcPr>
          <w:p>
            <w:pPr>
              <w:spacing w:after="0"/>
              <w:rPr>
                <w:sz w:val="21"/>
                <w:szCs w:val="21"/>
                <w:color w:val="auto"/>
              </w:rPr>
            </w:pPr>
          </w:p>
        </w:tc>
        <w:tc>
          <w:tcPr>
            <w:tcW w:w="152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1,160.8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1,741.2</w:t>
            </w:r>
          </w:p>
        </w:tc>
      </w:tr>
      <w:tr>
        <w:trPr>
          <w:trHeight w:val="24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310.4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r>
      <w:tr>
        <w:trPr>
          <w:trHeight w:val="24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long-term liabilities</w:t>
            </w:r>
          </w:p>
        </w:tc>
        <w:tc>
          <w:tcPr>
            <w:tcW w:w="2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476.4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w:t>
            </w:r>
          </w:p>
        </w:tc>
      </w:tr>
      <w:tr>
        <w:trPr>
          <w:trHeight w:val="236"/>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5,128.7</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5,308.6</w:t>
            </w:r>
          </w:p>
        </w:tc>
      </w:tr>
      <w:tr>
        <w:trPr>
          <w:trHeight w:val="237"/>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8,306.4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8,378.7</w:t>
            </w:r>
          </w:p>
        </w:tc>
      </w:tr>
      <w:tr>
        <w:trPr>
          <w:trHeight w:val="243"/>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13,435.1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13,687.3</w:t>
            </w:r>
          </w:p>
        </w:tc>
      </w:tr>
    </w:tbl>
    <w:p>
      <w:pPr>
        <w:sectPr>
          <w:pgSz w:w="11900" w:h="16838" w:orient="portrait"/>
          <w:cols w:equalWidth="0" w:num="1">
            <w:col w:w="11120"/>
          </w:cols>
          <w:pgMar w:left="380" w:top="941" w:right="39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2900" w:type="dxa"/>
            <w:vAlign w:val="bottom"/>
            <w:gridSpan w:val="2"/>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September 27, 2025</w:t>
            </w:r>
          </w:p>
        </w:tc>
        <w:tc>
          <w:tcPr>
            <w:tcW w:w="360" w:type="dxa"/>
            <w:vAlign w:val="bottom"/>
          </w:tcPr>
          <w:p>
            <w:pPr>
              <w:spacing w:after="0"/>
              <w:rPr>
                <w:sz w:val="16"/>
                <w:szCs w:val="16"/>
                <w:color w:val="auto"/>
              </w:rPr>
            </w:pPr>
          </w:p>
        </w:tc>
        <w:tc>
          <w:tcPr>
            <w:tcW w:w="14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27, 2025</w:t>
            </w:r>
          </w:p>
        </w:tc>
        <w:tc>
          <w:tcPr>
            <w:tcW w:w="0" w:type="dxa"/>
            <w:vAlign w:val="bottom"/>
          </w:tcPr>
          <w:p>
            <w:pPr>
              <w:spacing w:after="0"/>
              <w:rPr>
                <w:sz w:val="1"/>
                <w:szCs w:val="1"/>
                <w:color w:val="auto"/>
              </w:rPr>
            </w:pPr>
          </w:p>
        </w:tc>
      </w:tr>
      <w:tr>
        <w:trPr>
          <w:trHeight w:val="23"/>
        </w:trPr>
        <w:tc>
          <w:tcPr>
            <w:tcW w:w="4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Ceramic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1,128.6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3,435.7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3,219.3</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Flooring NA</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949.9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2,806.0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2,746.0</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Flooring ROW</w:t>
            </w: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707.5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2,264.4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2,120.4</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2,786.0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2,757.9</w:t>
            </w: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8,506.1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8,085.7</w:t>
            </w: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Ceramic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65.6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211.1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Flooring NA</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71.9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173.4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Flooring ROW</w:t>
            </w:r>
          </w:p>
        </w:tc>
        <w:tc>
          <w:tcPr>
            <w:tcW w:w="360" w:type="dxa"/>
            <w:vAlign w:val="bottom"/>
          </w:tcPr>
          <w:p>
            <w:pPr>
              <w:spacing w:after="0"/>
              <w:rPr>
                <w:sz w:val="21"/>
                <w:szCs w:val="21"/>
                <w:color w:val="auto"/>
              </w:rPr>
            </w:pP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66.0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215.2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intersegment eliminations</w:t>
            </w: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(15.8)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(46.4)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187.7</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553.3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0" w:type="dxa"/>
            <w:vAlign w:val="bottom"/>
          </w:tcPr>
          <w:p>
            <w:pPr>
              <w:spacing w:after="0"/>
              <w:rPr>
                <w:sz w:val="1"/>
                <w:szCs w:val="1"/>
                <w:color w:val="auto"/>
              </w:rPr>
            </w:pPr>
          </w:p>
        </w:tc>
      </w:tr>
      <w:tr>
        <w:trPr>
          <w:trHeight w:val="449"/>
        </w:trPr>
        <w:tc>
          <w:tcPr>
            <w:tcW w:w="4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2"/>
          </w:tcPr>
          <w:p>
            <w:pPr>
              <w:jc w:val="right"/>
              <w:ind w:right="932"/>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23"/>
        </w:trPr>
        <w:tc>
          <w:tcPr>
            <w:tcW w:w="4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Ceramic</w:t>
            </w: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5,321.7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5,155.0</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Flooring NA</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3,740.0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3,832.6</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Flooring ROW</w:t>
            </w: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3,913.2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3,989.2</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intersegment eliminations</w:t>
            </w: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460.2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0" w:type="dxa"/>
            <w:vAlign w:val="bottom"/>
          </w:tcPr>
          <w:p>
            <w:pPr>
              <w:spacing w:after="0"/>
              <w:rPr>
                <w:sz w:val="1"/>
                <w:szCs w:val="1"/>
                <w:color w:val="auto"/>
              </w:rPr>
            </w:pPr>
          </w:p>
        </w:tc>
      </w:tr>
      <w:tr>
        <w:trPr>
          <w:trHeight w:val="244"/>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 assets</w:t>
            </w: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13,435.1</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13,687.3</w:t>
            </w:r>
          </w:p>
        </w:tc>
        <w:tc>
          <w:tcPr>
            <w:tcW w:w="0" w:type="dxa"/>
            <w:vAlign w:val="bottom"/>
          </w:tcPr>
          <w:p>
            <w:pPr>
              <w:spacing w:after="0"/>
              <w:rPr>
                <w:sz w:val="1"/>
                <w:szCs w:val="1"/>
                <w:color w:val="auto"/>
              </w:rPr>
            </w:pPr>
          </w:p>
        </w:tc>
      </w:tr>
    </w:tbl>
    <w:p>
      <w:pPr>
        <w:sectPr>
          <w:pgSz w:w="11900" w:h="16838" w:orient="portrait"/>
          <w:cols w:equalWidth="0" w:num="1">
            <w:col w:w="11240"/>
          </w:cols>
          <w:pgMar w:left="320" w:top="941" w:right="339" w:bottom="1440" w:gutter="0" w:footer="0" w:header="0"/>
        </w:sectPr>
      </w:pPr>
    </w:p>
    <w:bookmarkStart w:id="12" w:name="page13"/>
    <w:bookmarkEnd w:id="12"/>
    <w:p>
      <w:pPr>
        <w:ind w:left="20" w:right="260"/>
        <w:spacing w:after="0" w:line="239" w:lineRule="auto"/>
        <w:rPr>
          <w:sz w:val="20"/>
          <w:szCs w:val="20"/>
          <w:color w:val="auto"/>
        </w:rPr>
      </w:pPr>
      <w:r>
        <w:rPr>
          <w:rFonts w:ascii="Times New Roman" w:cs="Times New Roman" w:eastAsia="Times New Roman" w:hAnsi="Times New Roman"/>
          <w:sz w:val="18"/>
          <w:szCs w:val="18"/>
          <w:b w:val="1"/>
          <w:bCs w:val="1"/>
          <w:color w:val="auto"/>
        </w:rPr>
        <w:t>Reconciliation of Net Earnings Attributable to Mohawk Industries, Inc. to Adjusted Net Earnings Attributable to Mohawk Industries, Inc. and Adjusted Diluted Earnings Per Share Attributable to Mohawk Industries, Inc.</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Three Months Ended</w:t>
            </w:r>
          </w:p>
        </w:tc>
        <w:tc>
          <w:tcPr>
            <w:tcW w:w="3260" w:type="dxa"/>
            <w:vAlign w:val="bottom"/>
            <w:gridSpan w:val="2"/>
          </w:tcPr>
          <w:p>
            <w:pPr>
              <w:jc w:val="right"/>
              <w:ind w:right="971"/>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September 27, 2025</w:t>
            </w:r>
          </w:p>
        </w:tc>
        <w:tc>
          <w:tcPr>
            <w:tcW w:w="18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27, 2025</w:t>
            </w:r>
          </w:p>
        </w:tc>
        <w:tc>
          <w:tcPr>
            <w:tcW w:w="0" w:type="dxa"/>
            <w:vAlign w:val="bottom"/>
          </w:tcPr>
          <w:p>
            <w:pPr>
              <w:spacing w:after="0"/>
              <w:rPr>
                <w:sz w:val="1"/>
                <w:szCs w:val="1"/>
                <w:color w:val="auto"/>
              </w:rPr>
            </w:pPr>
          </w:p>
        </w:tc>
      </w:tr>
      <w:tr>
        <w:trPr>
          <w:trHeight w:val="23"/>
        </w:trPr>
        <w:tc>
          <w:tcPr>
            <w:tcW w:w="4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Mohawk Industries, Inc.</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163.1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476.4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Adjusting items:</w:t>
            </w: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Restructuring, acquisition and integration-related and other</w:t>
            </w:r>
          </w:p>
        </w:tc>
        <w:tc>
          <w:tcPr>
            <w:tcW w:w="36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12.4</w:t>
            </w: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20" w:type="dxa"/>
            <w:vAlign w:val="bottom"/>
            <w:vMerge w:val="restart"/>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89.0</w:t>
            </w: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w:t>
            </w:r>
          </w:p>
        </w:tc>
        <w:tc>
          <w:tcPr>
            <w:tcW w:w="36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21"/>
                <w:szCs w:val="21"/>
                <w:color w:val="auto"/>
              </w:rPr>
            </w:pPr>
          </w:p>
        </w:tc>
        <w:tc>
          <w:tcPr>
            <w:tcW w:w="1820" w:type="dxa"/>
            <w:vAlign w:val="bottom"/>
            <w:vMerge w:val="continue"/>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 implementation cost write-off</w:t>
            </w:r>
          </w:p>
        </w:tc>
        <w:tc>
          <w:tcPr>
            <w:tcW w:w="360" w:type="dxa"/>
            <w:vAlign w:val="bottom"/>
          </w:tcPr>
          <w:p>
            <w:pPr>
              <w:spacing w:after="0"/>
              <w:rPr>
                <w:sz w:val="21"/>
                <w:szCs w:val="21"/>
                <w:color w:val="auto"/>
              </w:rPr>
            </w:pP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 sale</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(2.6)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settlements, reserves and fees</w:t>
            </w:r>
          </w:p>
        </w:tc>
        <w:tc>
          <w:tcPr>
            <w:tcW w:w="360" w:type="dxa"/>
            <w:vAlign w:val="bottom"/>
          </w:tcPr>
          <w:p>
            <w:pPr>
              <w:spacing w:after="0"/>
              <w:rPr>
                <w:sz w:val="21"/>
                <w:szCs w:val="21"/>
                <w:color w:val="auto"/>
              </w:rPr>
            </w:pP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21"/>
                <w:szCs w:val="21"/>
                <w:color w:val="auto"/>
              </w:rPr>
            </w:pPr>
          </w:p>
        </w:tc>
        <w:tc>
          <w:tcPr>
            <w:tcW w:w="182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0.1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of indemnification asset</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6.6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4.6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 adjustments of uncertain tax position</w:t>
            </w:r>
          </w:p>
        </w:tc>
        <w:tc>
          <w:tcPr>
            <w:tcW w:w="360" w:type="dxa"/>
            <w:vAlign w:val="bottom"/>
          </w:tcPr>
          <w:p>
            <w:pPr>
              <w:spacing w:after="0"/>
              <w:rPr>
                <w:sz w:val="21"/>
                <w:szCs w:val="21"/>
                <w:color w:val="auto"/>
              </w:rPr>
            </w:pPr>
          </w:p>
        </w:tc>
        <w:tc>
          <w:tcPr>
            <w:tcW w:w="1480" w:type="dxa"/>
            <w:vAlign w:val="bottom"/>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(6.6)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1"/>
                <w:szCs w:val="21"/>
                <w:color w:val="auto"/>
              </w:rPr>
            </w:pPr>
          </w:p>
        </w:tc>
        <w:tc>
          <w:tcPr>
            <w:tcW w:w="182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(4.6)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Other tax related items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(7.5)</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(38.2)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Income tax effect of adjustments</w:t>
            </w: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(4.9)</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(21.0)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ind w:left="240"/>
              <w:spacing w:after="0" w:line="182" w:lineRule="exact"/>
              <w:rPr>
                <w:sz w:val="20"/>
                <w:szCs w:val="20"/>
                <w:color w:val="auto"/>
              </w:rPr>
            </w:pPr>
            <w:r>
              <w:rPr>
                <w:rFonts w:ascii="Times New Roman" w:cs="Times New Roman" w:eastAsia="Times New Roman" w:hAnsi="Times New Roman"/>
                <w:sz w:val="18"/>
                <w:szCs w:val="18"/>
                <w:color w:val="auto"/>
              </w:rPr>
              <w:t>Adjusted net earnings attributable to Mohawk Industries,</w:t>
            </w: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vMerge w:val="restart"/>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163.1</w:t>
            </w: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503.7</w:t>
            </w: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w:t>
            </w:r>
          </w:p>
        </w:tc>
        <w:tc>
          <w:tcPr>
            <w:tcW w:w="360" w:type="dxa"/>
            <w:vAlign w:val="bottom"/>
            <w:tcBorders>
              <w:bottom w:val="single" w:sz="8" w:color="auto"/>
            </w:tcBorders>
            <w:vMerge w:val="continue"/>
            <w:shd w:val="clear" w:color="auto" w:fill="CCEEFF"/>
          </w:tcPr>
          <w:p>
            <w:pPr>
              <w:spacing w:after="0"/>
              <w:rPr>
                <w:sz w:val="21"/>
                <w:szCs w:val="21"/>
                <w:color w:val="auto"/>
              </w:rPr>
            </w:pPr>
          </w:p>
        </w:tc>
        <w:tc>
          <w:tcPr>
            <w:tcW w:w="1480" w:type="dxa"/>
            <w:vAlign w:val="bottom"/>
            <w:tcBorders>
              <w:bottom w:val="single" w:sz="8" w:color="auto"/>
            </w:tcBorders>
            <w:vMerge w:val="continue"/>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8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vMerge w:val="continue"/>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Adjusted diluted earnings per share attributable to Mohawk</w:t>
            </w: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vMerge w:val="restart"/>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2.72</w:t>
            </w: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20" w:type="dxa"/>
            <w:vAlign w:val="bottom"/>
            <w:vMerge w:val="restart"/>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8.27</w:t>
            </w: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Industries, Inc.</w:t>
            </w:r>
          </w:p>
        </w:tc>
        <w:tc>
          <w:tcPr>
            <w:tcW w:w="360" w:type="dxa"/>
            <w:vAlign w:val="bottom"/>
            <w:tcBorders>
              <w:bottom w:val="single" w:sz="8" w:color="auto"/>
            </w:tcBorders>
            <w:vMerge w:val="continue"/>
            <w:shd w:val="clear" w:color="auto" w:fill="CCEEFF"/>
          </w:tcPr>
          <w:p>
            <w:pPr>
              <w:spacing w:after="0"/>
              <w:rPr>
                <w:sz w:val="21"/>
                <w:szCs w:val="21"/>
                <w:color w:val="auto"/>
              </w:rPr>
            </w:pPr>
          </w:p>
        </w:tc>
        <w:tc>
          <w:tcPr>
            <w:tcW w:w="1480" w:type="dxa"/>
            <w:vAlign w:val="bottom"/>
            <w:tcBorders>
              <w:bottom w:val="single" w:sz="8" w:color="auto"/>
            </w:tcBorders>
            <w:vMerge w:val="continue"/>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vMerge w:val="continue"/>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60.0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60.9</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160" w:firstLine="8"/>
        <w:spacing w:after="0" w:line="282" w:lineRule="auto"/>
        <w:tabs>
          <w:tab w:leader="none" w:pos="20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one-time U.S. tax benefit associated with a legal entity restructuring initiative, tax credits issued by the Brazilian government related to prior years and a non-recurring tax benefit related to a U.S. tax election.</w:t>
      </w:r>
    </w:p>
    <w:p>
      <w:pPr>
        <w:spacing w:after="0" w:line="2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Total Debt to Net Debt</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 2026</w:t>
            </w:r>
          </w:p>
        </w:tc>
      </w:tr>
      <w:tr>
        <w:trPr>
          <w:trHeight w:val="23"/>
        </w:trPr>
        <w:tc>
          <w:tcPr>
            <w:tcW w:w="67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3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621.9</w:t>
            </w:r>
          </w:p>
        </w:tc>
      </w:tr>
      <w:tr>
        <w:trPr>
          <w:trHeight w:val="243"/>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1,160.8</w:t>
            </w: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1,782.7</w:t>
            </w:r>
          </w:p>
        </w:tc>
      </w:tr>
      <w:tr>
        <w:trPr>
          <w:trHeight w:val="243"/>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816.8</w:t>
            </w:r>
          </w:p>
        </w:tc>
      </w:tr>
      <w:tr>
        <w:trPr>
          <w:trHeight w:val="244"/>
        </w:trPr>
        <w:tc>
          <w:tcPr>
            <w:tcW w:w="6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32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965.9</w:t>
            </w:r>
          </w:p>
        </w:tc>
      </w:tr>
    </w:tbl>
    <w:p>
      <w:pPr>
        <w:sectPr>
          <w:pgSz w:w="11900" w:h="16838" w:orient="portrait"/>
          <w:cols w:equalWidth="0" w:num="1">
            <w:col w:w="11240"/>
          </w:cols>
          <w:pgMar w:left="320" w:top="941"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Earnings to Adjusted EBITDA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Trailing Twelve</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Three Months Ended</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Months Ended</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2"/>
                <w:szCs w:val="12"/>
                <w:color w:val="auto"/>
              </w:rPr>
            </w:pPr>
          </w:p>
        </w:tc>
        <w:tc>
          <w:tcPr>
            <w:tcW w:w="1380" w:type="dxa"/>
            <w:vAlign w:val="bottom"/>
          </w:tcPr>
          <w:p>
            <w:pPr>
              <w:jc w:val="right"/>
              <w:ind w:right="333"/>
              <w:spacing w:after="0" w:line="145" w:lineRule="exact"/>
              <w:rPr>
                <w:sz w:val="20"/>
                <w:szCs w:val="20"/>
                <w:color w:val="auto"/>
              </w:rPr>
            </w:pPr>
            <w:r>
              <w:rPr>
                <w:rFonts w:ascii="Times New Roman" w:cs="Times New Roman" w:eastAsia="Times New Roman" w:hAnsi="Times New Roman"/>
                <w:sz w:val="14"/>
                <w:szCs w:val="14"/>
                <w:color w:val="auto"/>
              </w:rPr>
              <w:t>December 31,</w:t>
            </w:r>
          </w:p>
        </w:tc>
        <w:tc>
          <w:tcPr>
            <w:tcW w:w="1680" w:type="dxa"/>
            <w:vAlign w:val="bottom"/>
            <w:gridSpan w:val="2"/>
          </w:tcPr>
          <w:p>
            <w:pPr>
              <w:jc w:val="right"/>
              <w:ind w:right="740"/>
              <w:spacing w:after="0" w:line="145" w:lineRule="exact"/>
              <w:rPr>
                <w:sz w:val="20"/>
                <w:szCs w:val="20"/>
                <w:color w:val="auto"/>
              </w:rPr>
            </w:pPr>
            <w:r>
              <w:rPr>
                <w:rFonts w:ascii="Times New Roman" w:cs="Times New Roman" w:eastAsia="Times New Roman" w:hAnsi="Times New Roman"/>
                <w:sz w:val="14"/>
                <w:szCs w:val="14"/>
                <w:color w:val="auto"/>
              </w:rPr>
              <w:t>April 4,</w:t>
            </w:r>
          </w:p>
        </w:tc>
        <w:tc>
          <w:tcPr>
            <w:tcW w:w="1280" w:type="dxa"/>
            <w:vAlign w:val="bottom"/>
          </w:tcPr>
          <w:p>
            <w:pPr>
              <w:jc w:val="right"/>
              <w:ind w:right="594"/>
              <w:spacing w:after="0" w:line="145" w:lineRule="exact"/>
              <w:rPr>
                <w:sz w:val="20"/>
                <w:szCs w:val="20"/>
                <w:color w:val="auto"/>
              </w:rPr>
            </w:pPr>
            <w:r>
              <w:rPr>
                <w:rFonts w:ascii="Times New Roman" w:cs="Times New Roman" w:eastAsia="Times New Roman" w:hAnsi="Times New Roman"/>
                <w:sz w:val="14"/>
                <w:szCs w:val="14"/>
                <w:color w:val="auto"/>
              </w:rPr>
              <w:t>July 4,</w:t>
            </w:r>
          </w:p>
        </w:tc>
        <w:tc>
          <w:tcPr>
            <w:tcW w:w="880" w:type="dxa"/>
            <w:vAlign w:val="bottom"/>
            <w:gridSpan w:val="3"/>
          </w:tcPr>
          <w:p>
            <w:pPr>
              <w:jc w:val="right"/>
              <w:ind w:right="114"/>
              <w:spacing w:after="0" w:line="145"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11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October 3,</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2025</w:t>
            </w:r>
          </w:p>
        </w:tc>
        <w:tc>
          <w:tcPr>
            <w:tcW w:w="14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42"/>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including noncontrolling interests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42.0</w:t>
            </w:r>
          </w:p>
        </w:tc>
        <w:tc>
          <w:tcPr>
            <w:tcW w:w="146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117.1</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rPr>
              <w:t>196.1</w:t>
            </w:r>
          </w:p>
        </w:tc>
        <w:tc>
          <w:tcPr>
            <w:tcW w:w="880" w:type="dxa"/>
            <w:vAlign w:val="bottom"/>
            <w:gridSpan w:val="3"/>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163.2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518.4</w:t>
            </w:r>
          </w:p>
        </w:tc>
        <w:tc>
          <w:tcPr>
            <w:tcW w:w="0" w:type="dxa"/>
            <w:vAlign w:val="bottom"/>
          </w:tcPr>
          <w:p>
            <w:pPr>
              <w:spacing w:after="0"/>
              <w:rPr>
                <w:sz w:val="1"/>
                <w:szCs w:val="1"/>
                <w:color w:val="auto"/>
              </w:rPr>
            </w:pPr>
          </w:p>
        </w:tc>
      </w:tr>
      <w:tr>
        <w:trPr>
          <w:trHeight w:val="243"/>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3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1.2</w:t>
            </w:r>
          </w:p>
        </w:tc>
        <w:tc>
          <w:tcPr>
            <w:tcW w:w="146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1"/>
                <w:szCs w:val="21"/>
                <w:color w:val="auto"/>
              </w:rPr>
            </w:pPr>
          </w:p>
        </w:tc>
        <w:tc>
          <w:tcPr>
            <w:tcW w:w="1280" w:type="dxa"/>
            <w:vAlign w:val="bottom"/>
          </w:tcPr>
          <w:p>
            <w:pPr>
              <w:jc w:val="right"/>
              <w:ind w:right="634"/>
              <w:spacing w:after="0"/>
              <w:rPr>
                <w:sz w:val="20"/>
                <w:szCs w:val="20"/>
                <w:color w:val="auto"/>
              </w:rPr>
            </w:pPr>
            <w:r>
              <w:rPr>
                <w:rFonts w:ascii="Times New Roman" w:cs="Times New Roman" w:eastAsia="Times New Roman" w:hAnsi="Times New Roman"/>
                <w:sz w:val="18"/>
                <w:szCs w:val="18"/>
                <w:color w:val="auto"/>
              </w:rPr>
              <w:t>4.8</w:t>
            </w:r>
          </w:p>
        </w:tc>
        <w:tc>
          <w:tcPr>
            <w:tcW w:w="880" w:type="dxa"/>
            <w:vAlign w:val="bottom"/>
            <w:gridSpan w:val="3"/>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1.6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24.0</w:t>
            </w:r>
          </w:p>
        </w:tc>
        <w:tc>
          <w:tcPr>
            <w:tcW w:w="146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rPr>
              <w:t>52.3</w:t>
            </w:r>
          </w:p>
        </w:tc>
        <w:tc>
          <w:tcPr>
            <w:tcW w:w="880" w:type="dxa"/>
            <w:vAlign w:val="bottom"/>
            <w:gridSpan w:val="3"/>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20.1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87.5</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auto"/>
            </w:tcBorders>
          </w:tcPr>
          <w:p>
            <w:pPr>
              <w:ind w:left="240"/>
              <w:spacing w:after="0" w:line="243"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176.3</w:t>
            </w:r>
          </w:p>
        </w:tc>
        <w:tc>
          <w:tcPr>
            <w:tcW w:w="14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rPr>
              <w:t>181.8</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8"/>
                <w:szCs w:val="18"/>
                <w:color w:val="auto"/>
              </w:rPr>
              <w:t>159.3</w:t>
            </w:r>
          </w:p>
        </w:tc>
        <w:tc>
          <w:tcPr>
            <w:tcW w:w="88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151.3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668.7</w:t>
            </w:r>
          </w:p>
        </w:tc>
        <w:tc>
          <w:tcPr>
            <w:tcW w:w="0" w:type="dxa"/>
            <w:vAlign w:val="bottom"/>
          </w:tcPr>
          <w:p>
            <w:pPr>
              <w:spacing w:after="0"/>
              <w:rPr>
                <w:sz w:val="1"/>
                <w:szCs w:val="1"/>
                <w:color w:val="auto"/>
              </w:rPr>
            </w:pPr>
          </w:p>
        </w:tc>
      </w:tr>
      <w:tr>
        <w:trPr>
          <w:trHeight w:val="237"/>
        </w:trPr>
        <w:tc>
          <w:tcPr>
            <w:tcW w:w="4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243.5</w:t>
            </w:r>
          </w:p>
        </w:tc>
        <w:tc>
          <w:tcPr>
            <w:tcW w:w="146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292.4</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rPr>
              <w:t>412.5</w:t>
            </w:r>
          </w:p>
        </w:tc>
        <w:tc>
          <w:tcPr>
            <w:tcW w:w="880" w:type="dxa"/>
            <w:vAlign w:val="bottom"/>
            <w:gridSpan w:val="3"/>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336.2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1,284.6</w:t>
            </w:r>
          </w:p>
        </w:tc>
        <w:tc>
          <w:tcPr>
            <w:tcW w:w="0" w:type="dxa"/>
            <w:vAlign w:val="bottom"/>
          </w:tcPr>
          <w:p>
            <w:pPr>
              <w:spacing w:after="0"/>
              <w:rPr>
                <w:sz w:val="1"/>
                <w:szCs w:val="1"/>
                <w:color w:val="auto"/>
              </w:rPr>
            </w:pPr>
          </w:p>
        </w:tc>
      </w:tr>
      <w:tr>
        <w:trPr>
          <w:trHeight w:val="189"/>
        </w:trPr>
        <w:tc>
          <w:tcPr>
            <w:tcW w:w="45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Restructuring, acquisition and integration-related and other</w:t>
            </w: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gridSpan w:val="3"/>
            <w:vMerge w:val="restart"/>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10.6</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72.8</w:t>
            </w:r>
          </w:p>
        </w:tc>
        <w:tc>
          <w:tcPr>
            <w:tcW w:w="0" w:type="dxa"/>
            <w:vAlign w:val="bottom"/>
          </w:tcPr>
          <w:p>
            <w:pPr>
              <w:spacing w:after="0"/>
              <w:rPr>
                <w:sz w:val="1"/>
                <w:szCs w:val="1"/>
                <w:color w:val="auto"/>
              </w:rPr>
            </w:pPr>
          </w:p>
        </w:tc>
      </w:tr>
      <w:tr>
        <w:trPr>
          <w:trHeight w:val="24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w:t>
            </w:r>
          </w:p>
        </w:tc>
        <w:tc>
          <w:tcPr>
            <w:tcW w:w="260" w:type="dxa"/>
            <w:vAlign w:val="bottom"/>
          </w:tcPr>
          <w:p>
            <w:pPr>
              <w:spacing w:after="0"/>
              <w:rPr>
                <w:sz w:val="21"/>
                <w:szCs w:val="21"/>
                <w:color w:val="auto"/>
              </w:rPr>
            </w:pPr>
          </w:p>
        </w:tc>
        <w:tc>
          <w:tcPr>
            <w:tcW w:w="13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25.6</w:t>
            </w:r>
          </w:p>
        </w:tc>
        <w:tc>
          <w:tcPr>
            <w:tcW w:w="146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21"/>
                <w:szCs w:val="21"/>
                <w:color w:val="auto"/>
              </w:rPr>
            </w:pPr>
          </w:p>
        </w:tc>
        <w:tc>
          <w:tcPr>
            <w:tcW w:w="1280" w:type="dxa"/>
            <w:vAlign w:val="bottom"/>
          </w:tcPr>
          <w:p>
            <w:pPr>
              <w:jc w:val="right"/>
              <w:ind w:right="634"/>
              <w:spacing w:after="0"/>
              <w:rPr>
                <w:sz w:val="20"/>
                <w:szCs w:val="20"/>
                <w:color w:val="auto"/>
              </w:rPr>
            </w:pPr>
            <w:r>
              <w:rPr>
                <w:rFonts w:ascii="Times New Roman" w:cs="Times New Roman" w:eastAsia="Times New Roman" w:hAnsi="Times New Roman"/>
                <w:sz w:val="18"/>
                <w:szCs w:val="18"/>
                <w:color w:val="auto"/>
              </w:rPr>
              <w:t>29.0</w:t>
            </w:r>
          </w:p>
        </w:tc>
        <w:tc>
          <w:tcPr>
            <w:tcW w:w="880" w:type="dxa"/>
            <w:vAlign w:val="bottom"/>
            <w:gridSpan w:val="3"/>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 sale</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(5.1)</w:t>
            </w:r>
          </w:p>
        </w:tc>
        <w:tc>
          <w:tcPr>
            <w:tcW w:w="16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0" w:type="dxa"/>
            <w:vAlign w:val="bottom"/>
          </w:tcPr>
          <w:p>
            <w:pPr>
              <w:spacing w:after="0"/>
              <w:rPr>
                <w:sz w:val="1"/>
                <w:szCs w:val="1"/>
                <w:color w:val="auto"/>
              </w:rPr>
            </w:pPr>
          </w:p>
        </w:tc>
      </w:tr>
      <w:tr>
        <w:trPr>
          <w:trHeight w:val="24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capitalization</w:t>
            </w:r>
          </w:p>
        </w:tc>
        <w:tc>
          <w:tcPr>
            <w:tcW w:w="260" w:type="dxa"/>
            <w:vAlign w:val="bottom"/>
          </w:tcPr>
          <w:p>
            <w:pPr>
              <w:spacing w:after="0"/>
              <w:rPr>
                <w:sz w:val="21"/>
                <w:szCs w:val="21"/>
                <w:color w:val="auto"/>
              </w:rPr>
            </w:pPr>
          </w:p>
        </w:tc>
        <w:tc>
          <w:tcPr>
            <w:tcW w:w="13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(6.2)</w:t>
            </w:r>
          </w:p>
        </w:tc>
        <w:tc>
          <w:tcPr>
            <w:tcW w:w="16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goodwill and indefinite-lived intangibles</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19.9</w:t>
            </w:r>
          </w:p>
        </w:tc>
        <w:tc>
          <w:tcPr>
            <w:tcW w:w="16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0" w:type="dxa"/>
            <w:vAlign w:val="bottom"/>
          </w:tcPr>
          <w:p>
            <w:pPr>
              <w:spacing w:after="0"/>
              <w:rPr>
                <w:sz w:val="1"/>
                <w:szCs w:val="1"/>
                <w:color w:val="auto"/>
              </w:rPr>
            </w:pPr>
          </w:p>
        </w:tc>
      </w:tr>
      <w:tr>
        <w:trPr>
          <w:trHeight w:val="24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settlements, reserves and fees</w:t>
            </w:r>
          </w:p>
        </w:tc>
        <w:tc>
          <w:tcPr>
            <w:tcW w:w="260" w:type="dxa"/>
            <w:vAlign w:val="bottom"/>
          </w:tcPr>
          <w:p>
            <w:pPr>
              <w:spacing w:after="0"/>
              <w:rPr>
                <w:sz w:val="21"/>
                <w:szCs w:val="21"/>
                <w:color w:val="auto"/>
              </w:rPr>
            </w:pPr>
          </w:p>
        </w:tc>
        <w:tc>
          <w:tcPr>
            <w:tcW w:w="13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23.8</w:t>
            </w:r>
          </w:p>
        </w:tc>
        <w:tc>
          <w:tcPr>
            <w:tcW w:w="146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21"/>
                <w:szCs w:val="21"/>
                <w:color w:val="auto"/>
              </w:rPr>
            </w:pPr>
          </w:p>
        </w:tc>
        <w:tc>
          <w:tcPr>
            <w:tcW w:w="1280" w:type="dxa"/>
            <w:vAlign w:val="bottom"/>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of indemnification asset</w:t>
            </w:r>
          </w:p>
        </w:tc>
        <w:tc>
          <w:tcPr>
            <w:tcW w:w="2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(0.3)</w:t>
            </w:r>
          </w:p>
        </w:tc>
        <w:tc>
          <w:tcPr>
            <w:tcW w:w="1460" w:type="dxa"/>
            <w:vAlign w:val="bottom"/>
            <w:tcBorders>
              <w:bottom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(1.7)</w:t>
            </w:r>
          </w:p>
        </w:tc>
        <w:tc>
          <w:tcPr>
            <w:tcW w:w="880" w:type="dxa"/>
            <w:vAlign w:val="bottom"/>
            <w:tcBorders>
              <w:bottom w:val="single" w:sz="8" w:color="auto"/>
            </w:tcBorders>
            <w:gridSpan w:val="3"/>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6.6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301.2</w:t>
            </w:r>
          </w:p>
        </w:tc>
        <w:tc>
          <w:tcPr>
            <w:tcW w:w="14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rPr>
              <w:t>299.8</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8"/>
                <w:szCs w:val="18"/>
                <w:color w:val="auto"/>
              </w:rPr>
              <w:t>437.2</w:t>
            </w:r>
          </w:p>
        </w:tc>
        <w:tc>
          <w:tcPr>
            <w:tcW w:w="88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353.4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1,391.6</w:t>
            </w: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debt to adjusted EBITDA</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417"/>
        </w:trPr>
        <w:tc>
          <w:tcPr>
            <w:tcW w:w="7900" w:type="dxa"/>
            <w:vAlign w:val="bottom"/>
            <w:gridSpan w:val="5"/>
          </w:tcPr>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Includes accelerated depreciation of $25.9 for Q4 2025, $30.0 for Q1 2026, $10.0 for Q2 2026 and $1.8 for Q3 2026.</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Sales to Adjusted Net Sales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right"/>
              <w:ind w:right="194"/>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23"/>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0" w:type="dxa"/>
            <w:vAlign w:val="bottom"/>
          </w:tcPr>
          <w:p>
            <w:pPr>
              <w:spacing w:after="0"/>
              <w:rPr>
                <w:sz w:val="1"/>
                <w:szCs w:val="1"/>
                <w:color w:val="auto"/>
              </w:rPr>
            </w:pPr>
          </w:p>
        </w:tc>
      </w:tr>
      <w:tr>
        <w:trPr>
          <w:trHeight w:val="23"/>
        </w:trPr>
        <w:tc>
          <w:tcPr>
            <w:tcW w:w="4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Mohawk Consolidated</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2,786.0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8,506.1</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for constant shipping days</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(167.5)</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Adjustment for constant exchange rates</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(190.1)</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sales</w:t>
            </w:r>
          </w:p>
        </w:tc>
        <w:tc>
          <w:tcPr>
            <w:tcW w:w="2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2,746.4</w:t>
            </w:r>
          </w:p>
        </w:tc>
        <w:tc>
          <w:tcPr>
            <w:tcW w:w="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8,148.5</w:t>
            </w:r>
          </w:p>
        </w:tc>
        <w:tc>
          <w:tcPr>
            <w:tcW w:w="0" w:type="dxa"/>
            <w:vAlign w:val="bottom"/>
          </w:tcPr>
          <w:p>
            <w:pPr>
              <w:spacing w:after="0"/>
              <w:rPr>
                <w:sz w:val="1"/>
                <w:szCs w:val="1"/>
                <w:color w:val="auto"/>
              </w:rPr>
            </w:pPr>
          </w:p>
        </w:tc>
      </w:tr>
    </w:tbl>
    <w:p>
      <w:pPr>
        <w:sectPr>
          <w:pgSz w:w="11900" w:h="16838" w:orient="portrait"/>
          <w:cols w:equalWidth="0" w:num="1">
            <w:col w:w="11240"/>
          </w:cols>
          <w:pgMar w:left="320" w:top="941"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Global Ceramic</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for constant shipping days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Adjustment for constant exchange rates</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Adjusted net sales</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Flooring NA</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7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for constant shipping days</w:t>
            </w:r>
          </w:p>
        </w:tc>
        <w:tc>
          <w:tcPr>
            <w:tcW w:w="1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Adjusted net sales</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Flooring ROW</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for constant shipping days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Adjustment for constant exchange rates</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7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sales</w:t>
            </w:r>
          </w:p>
        </w:tc>
        <w:tc>
          <w:tcPr>
            <w:tcW w:w="1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Gross Profit to Adjusted Gross Profit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gridSpan w:val="3"/>
          </w:tcPr>
          <w:p>
            <w:pPr>
              <w:jc w:val="right"/>
              <w:ind w:right="1033"/>
              <w:spacing w:after="0"/>
              <w:rPr>
                <w:sz w:val="20"/>
                <w:szCs w:val="20"/>
                <w:color w:val="auto"/>
              </w:rPr>
            </w:pPr>
            <w:r>
              <w:rPr>
                <w:rFonts w:ascii="Times New Roman" w:cs="Times New Roman" w:eastAsia="Times New Roman" w:hAnsi="Times New Roman"/>
                <w:sz w:val="14"/>
                <w:szCs w:val="14"/>
                <w:color w:val="auto"/>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27, 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Borders>
              <w:bottom w:val="single" w:sz="8" w:color="auto"/>
            </w:tcBorders>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CCEEFF"/>
            </w:tcBorders>
            <w:shd w:val="clear" w:color="auto" w:fill="CCEEFF"/>
          </w:tcPr>
          <w:p>
            <w:pPr>
              <w:spacing w:after="0"/>
              <w:rPr>
                <w:sz w:val="20"/>
                <w:szCs w:val="20"/>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709.7</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gross profit: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auto"/>
              <w:right w:val="single" w:sz="8" w:color="CCEEFF"/>
            </w:tcBorders>
            <w:shd w:val="clear" w:color="auto" w:fill="CCEEFF"/>
          </w:tcPr>
          <w:p>
            <w:pPr>
              <w:spacing w:after="0"/>
              <w:rPr>
                <w:sz w:val="21"/>
                <w:szCs w:val="21"/>
                <w:color w:val="auto"/>
              </w:rPr>
            </w:pPr>
          </w:p>
        </w:tc>
        <w:tc>
          <w:tcPr>
            <w:tcW w:w="77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Restructuring, acquisition and integration-related and other costs</w:t>
            </w:r>
          </w:p>
        </w:tc>
        <w:tc>
          <w:tcPr>
            <w:tcW w:w="1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10.4</w:t>
            </w: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auto"/>
            </w:tcBorders>
          </w:tcPr>
          <w:p>
            <w:pPr>
              <w:spacing w:after="0"/>
              <w:rPr>
                <w:sz w:val="21"/>
                <w:szCs w:val="21"/>
                <w:color w:val="auto"/>
              </w:rPr>
            </w:pPr>
          </w:p>
        </w:tc>
        <w:tc>
          <w:tcPr>
            <w:tcW w:w="7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720.1</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CCEEFF"/>
            </w:tcBorders>
            <w:shd w:val="clear" w:color="auto" w:fill="CCEEFF"/>
          </w:tcPr>
          <w:p>
            <w:pPr>
              <w:spacing w:after="0"/>
              <w:rPr>
                <w:sz w:val="21"/>
                <w:szCs w:val="21"/>
                <w:color w:val="auto"/>
              </w:rPr>
            </w:pPr>
          </w:p>
        </w:tc>
        <w:tc>
          <w:tcPr>
            <w:tcW w:w="7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 as a percent of net sales</w:t>
            </w:r>
          </w:p>
        </w:tc>
        <w:tc>
          <w:tcPr>
            <w:tcW w:w="1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25.8%</w:t>
            </w: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40" w:type="dxa"/>
            <w:vAlign w:val="bottom"/>
          </w:tcPr>
          <w:p>
            <w:pPr>
              <w:spacing w:after="0"/>
              <w:rPr>
                <w:sz w:val="24"/>
                <w:szCs w:val="24"/>
                <w:color w:val="auto"/>
              </w:rPr>
            </w:pPr>
          </w:p>
        </w:tc>
        <w:tc>
          <w:tcPr>
            <w:tcW w:w="97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Selling, General and Administrative Expenses to Adjusted Selling, General and Administrative Expenses</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gridSpan w:val="3"/>
          </w:tcPr>
          <w:p>
            <w:pPr>
              <w:jc w:val="right"/>
              <w:ind w:right="973"/>
              <w:spacing w:after="0"/>
              <w:rPr>
                <w:sz w:val="20"/>
                <w:szCs w:val="20"/>
                <w:color w:val="auto"/>
              </w:rPr>
            </w:pPr>
            <w:r>
              <w:rPr>
                <w:rFonts w:ascii="Times New Roman" w:cs="Times New Roman" w:eastAsia="Times New Roman" w:hAnsi="Times New Roman"/>
                <w:sz w:val="14"/>
                <w:szCs w:val="14"/>
                <w:color w:val="auto"/>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27, 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522.0</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selling, general and administrative expenses: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acquisition and integration-related and other costs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Legal settlements, reserves and fees</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selling, general and administrative expenses</w:t>
            </w:r>
          </w:p>
        </w:tc>
        <w:tc>
          <w:tcPr>
            <w:tcW w:w="3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520.0</w:t>
            </w: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selling, general and administrative expenses as a percent of net sales</w:t>
            </w:r>
          </w:p>
        </w:tc>
        <w:tc>
          <w:tcPr>
            <w:tcW w:w="1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18.7%</w:t>
            </w: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3"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Operating Income to Adjusted Operating Income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2"/>
          </w:tcPr>
          <w:p>
            <w:pPr>
              <w:jc w:val="right"/>
              <w:ind w:right="951"/>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7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8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0" w:type="dxa"/>
            <w:vAlign w:val="bottom"/>
          </w:tcPr>
          <w:p>
            <w:pPr>
              <w:spacing w:after="0"/>
              <w:rPr>
                <w:sz w:val="1"/>
                <w:szCs w:val="1"/>
                <w:color w:val="auto"/>
              </w:rPr>
            </w:pPr>
          </w:p>
        </w:tc>
      </w:tr>
      <w:tr>
        <w:trPr>
          <w:trHeight w:val="23"/>
        </w:trPr>
        <w:tc>
          <w:tcPr>
            <w:tcW w:w="7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Mohawk Consolidated</w:t>
            </w: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187.7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operating income:</w:t>
            </w: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acquisition and integration-related and other costs</w:t>
            </w:r>
          </w:p>
        </w:tc>
        <w:tc>
          <w:tcPr>
            <w:tcW w:w="360" w:type="dxa"/>
            <w:vAlign w:val="bottom"/>
          </w:tcPr>
          <w:p>
            <w:pPr>
              <w:spacing w:after="0"/>
              <w:rPr>
                <w:sz w:val="21"/>
                <w:szCs w:val="21"/>
                <w:color w:val="auto"/>
              </w:rPr>
            </w:pPr>
          </w:p>
        </w:tc>
        <w:tc>
          <w:tcPr>
            <w:tcW w:w="14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12.4</w:t>
            </w:r>
          </w:p>
        </w:tc>
        <w:tc>
          <w:tcPr>
            <w:tcW w:w="1480" w:type="dxa"/>
            <w:vAlign w:val="bottom"/>
          </w:tcPr>
          <w:p>
            <w:pPr>
              <w:jc w:val="center"/>
              <w:ind w:left="911"/>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43"/>
        </w:trPr>
        <w:tc>
          <w:tcPr>
            <w:tcW w:w="7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settlements, reserves and fees</w:t>
            </w:r>
          </w:p>
        </w:tc>
        <w:tc>
          <w:tcPr>
            <w:tcW w:w="3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center"/>
              <w:ind w:left="911"/>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44"/>
        </w:trPr>
        <w:tc>
          <w:tcPr>
            <w:tcW w:w="7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200.1</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0" w:type="dxa"/>
            <w:vAlign w:val="bottom"/>
          </w:tcPr>
          <w:p>
            <w:pPr>
              <w:spacing w:after="0"/>
              <w:rPr>
                <w:sz w:val="1"/>
                <w:szCs w:val="1"/>
                <w:color w:val="auto"/>
              </w:rPr>
            </w:pPr>
          </w:p>
        </w:tc>
      </w:tr>
      <w:tr>
        <w:trPr>
          <w:trHeight w:val="601"/>
        </w:trPr>
        <w:tc>
          <w:tcPr>
            <w:tcW w:w="7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operating income as a percent of net sales</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7.2 %</w:t>
            </w:r>
          </w:p>
        </w:tc>
        <w:tc>
          <w:tcPr>
            <w:tcW w:w="1480" w:type="dxa"/>
            <w:vAlign w:val="bottom"/>
            <w:tcBorders>
              <w:bottom w:val="single" w:sz="8" w:color="auto"/>
            </w:tcBorders>
          </w:tcPr>
          <w:p>
            <w:pPr>
              <w:jc w:val="center"/>
              <w:ind w:left="911"/>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351"/>
        </w:trPr>
        <w:tc>
          <w:tcPr>
            <w:tcW w:w="7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Global Ceramic</w:t>
            </w: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65.6</w:t>
            </w:r>
          </w:p>
        </w:tc>
        <w:tc>
          <w:tcPr>
            <w:tcW w:w="1480" w:type="dxa"/>
            <w:vAlign w:val="bottom"/>
          </w:tcPr>
          <w:p>
            <w:pPr>
              <w:jc w:val="center"/>
              <w:ind w:left="911"/>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segment operating income:</w:t>
            </w: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acquisition and integration-related and other costs</w:t>
            </w: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7.9</w:t>
            </w:r>
          </w:p>
        </w:tc>
        <w:tc>
          <w:tcPr>
            <w:tcW w:w="1480" w:type="dxa"/>
            <w:vAlign w:val="bottom"/>
            <w:tcBorders>
              <w:bottom w:val="single" w:sz="8" w:color="auto"/>
            </w:tcBorders>
          </w:tcPr>
          <w:p>
            <w:pPr>
              <w:jc w:val="center"/>
              <w:ind w:left="911"/>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3"/>
        </w:trPr>
        <w:tc>
          <w:tcPr>
            <w:tcW w:w="7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segment operating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73.5</w:t>
            </w:r>
          </w:p>
        </w:tc>
        <w:tc>
          <w:tcPr>
            <w:tcW w:w="1480" w:type="dxa"/>
            <w:vAlign w:val="bottom"/>
            <w:tcBorders>
              <w:bottom w:val="single" w:sz="8" w:color="auto"/>
            </w:tcBorders>
            <w:shd w:val="clear" w:color="auto" w:fill="CCEEFF"/>
          </w:tcPr>
          <w:p>
            <w:pPr>
              <w:jc w:val="center"/>
              <w:ind w:left="911"/>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628"/>
        </w:trPr>
        <w:tc>
          <w:tcPr>
            <w:tcW w:w="7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segment operating income as a percent of net sales</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6.5 %</w:t>
            </w:r>
          </w:p>
        </w:tc>
        <w:tc>
          <w:tcPr>
            <w:tcW w:w="1480" w:type="dxa"/>
            <w:vAlign w:val="bottom"/>
            <w:tcBorders>
              <w:bottom w:val="single" w:sz="8" w:color="auto"/>
            </w:tcBorders>
          </w:tcPr>
          <w:p>
            <w:pPr>
              <w:jc w:val="center"/>
              <w:ind w:left="911"/>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364"/>
        </w:trPr>
        <w:tc>
          <w:tcPr>
            <w:tcW w:w="7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Flooring NA</w:t>
            </w: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71.9</w:t>
            </w:r>
          </w:p>
        </w:tc>
        <w:tc>
          <w:tcPr>
            <w:tcW w:w="1480" w:type="dxa"/>
            <w:vAlign w:val="bottom"/>
          </w:tcPr>
          <w:p>
            <w:pPr>
              <w:jc w:val="center"/>
              <w:ind w:left="911"/>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segment operating income:</w:t>
            </w: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acquisition and integration-related and other costs</w:t>
            </w: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4.9</w:t>
            </w:r>
          </w:p>
        </w:tc>
        <w:tc>
          <w:tcPr>
            <w:tcW w:w="1480" w:type="dxa"/>
            <w:vAlign w:val="bottom"/>
            <w:tcBorders>
              <w:bottom w:val="single" w:sz="8" w:color="auto"/>
            </w:tcBorders>
          </w:tcPr>
          <w:p>
            <w:pPr>
              <w:jc w:val="center"/>
              <w:ind w:left="911"/>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4"/>
        </w:trPr>
        <w:tc>
          <w:tcPr>
            <w:tcW w:w="7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segment operating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76.8</w:t>
            </w:r>
          </w:p>
        </w:tc>
        <w:tc>
          <w:tcPr>
            <w:tcW w:w="1480" w:type="dxa"/>
            <w:vAlign w:val="bottom"/>
            <w:tcBorders>
              <w:bottom w:val="single" w:sz="8" w:color="auto"/>
            </w:tcBorders>
            <w:shd w:val="clear" w:color="auto" w:fill="CCEEFF"/>
          </w:tcPr>
          <w:p>
            <w:pPr>
              <w:jc w:val="center"/>
              <w:ind w:left="911"/>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614"/>
        </w:trPr>
        <w:tc>
          <w:tcPr>
            <w:tcW w:w="7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segment operating income as a percent of net sales</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8.1 %</w:t>
            </w:r>
          </w:p>
        </w:tc>
        <w:tc>
          <w:tcPr>
            <w:tcW w:w="1480" w:type="dxa"/>
            <w:vAlign w:val="bottom"/>
            <w:tcBorders>
              <w:bottom w:val="single" w:sz="8" w:color="auto"/>
            </w:tcBorders>
          </w:tcPr>
          <w:p>
            <w:pPr>
              <w:jc w:val="center"/>
              <w:ind w:left="911"/>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bl>
    <w:p>
      <w:pPr>
        <w:sectPr>
          <w:pgSz w:w="11900" w:h="16838" w:orient="portrait"/>
          <w:cols w:equalWidth="0" w:num="1">
            <w:col w:w="11180"/>
          </w:cols>
          <w:pgMar w:left="320" w:top="941" w:right="39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September 27, 2025</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7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Flooring ROW</w:t>
            </w: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66.0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segment operating income:</w:t>
            </w:r>
          </w:p>
        </w:tc>
        <w:tc>
          <w:tcPr>
            <w:tcW w:w="3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7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Restructuring, acquisition and integration-related and other costs</w:t>
            </w:r>
          </w:p>
        </w:tc>
        <w:tc>
          <w:tcPr>
            <w:tcW w:w="3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(0.4)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shd w:val="clear" w:color="auto" w:fill="CCEEFF"/>
          </w:tcPr>
          <w:p>
            <w:pPr>
              <w:spacing w:after="0"/>
              <w:rPr>
                <w:sz w:val="21"/>
                <w:szCs w:val="21"/>
                <w:color w:val="auto"/>
              </w:rPr>
            </w:pPr>
          </w:p>
        </w:tc>
        <w:tc>
          <w:tcPr>
            <w:tcW w:w="7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segment operating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65.6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shd w:val="clear" w:color="auto" w:fill="CCEEFF"/>
          </w:tcPr>
          <w:p>
            <w:pPr>
              <w:spacing w:after="0"/>
              <w:rPr>
                <w:sz w:val="21"/>
                <w:szCs w:val="21"/>
                <w:color w:val="auto"/>
              </w:rPr>
            </w:pPr>
          </w:p>
        </w:tc>
        <w:tc>
          <w:tcPr>
            <w:tcW w:w="7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segment operating income as a percent of net sales</w:t>
            </w:r>
          </w:p>
        </w:tc>
        <w:tc>
          <w:tcPr>
            <w:tcW w:w="3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b w:val="1"/>
                <w:bCs w:val="1"/>
                <w:color w:val="auto"/>
              </w:rPr>
              <w:t>9.3 %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and intersegment eliminations</w:t>
            </w:r>
          </w:p>
        </w:tc>
        <w:tc>
          <w:tcPr>
            <w:tcW w:w="3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(15.8)</w:t>
            </w:r>
          </w:p>
        </w:tc>
        <w:tc>
          <w:tcPr>
            <w:tcW w:w="1480" w:type="dxa"/>
            <w:vAlign w:val="bottom"/>
            <w:gridSpan w:val="2"/>
          </w:tcPr>
          <w:p>
            <w:pPr>
              <w:jc w:val="center"/>
              <w:ind w:left="913"/>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segment operating (loss):</w:t>
            </w:r>
          </w:p>
        </w:tc>
        <w:tc>
          <w:tcPr>
            <w:tcW w:w="3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Legal settlements, reserves and fees</w:t>
            </w:r>
          </w:p>
        </w:tc>
        <w:tc>
          <w:tcPr>
            <w:tcW w:w="3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segment operating (loss)</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(15.8)</w:t>
            </w:r>
          </w:p>
        </w:tc>
        <w:tc>
          <w:tcPr>
            <w:tcW w:w="1480" w:type="dxa"/>
            <w:vAlign w:val="bottom"/>
            <w:tcBorders>
              <w:bottom w:val="single" w:sz="8" w:color="auto"/>
            </w:tcBorders>
            <w:gridSpan w:val="2"/>
            <w:shd w:val="clear" w:color="auto" w:fill="CCEEFF"/>
          </w:tcPr>
          <w:p>
            <w:pPr>
              <w:jc w:val="center"/>
              <w:ind w:left="933"/>
              <w:spacing w:after="0"/>
              <w:rPr>
                <w:sz w:val="20"/>
                <w:szCs w:val="20"/>
                <w:color w:val="auto"/>
              </w:rPr>
            </w:pPr>
            <w:r>
              <w:rPr>
                <w:rFonts w:ascii="Times New Roman" w:cs="Times New Roman" w:eastAsia="Times New Roman" w:hAnsi="Times New Roman"/>
                <w:sz w:val="18"/>
                <w:szCs w:val="18"/>
                <w:color w:val="auto"/>
                <w:w w:val="96"/>
              </w:rPr>
              <w:t>(11.5)</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Earnings Before Income Taxes to Adjusted Earnings Before Income Taxes</w:t>
            </w: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September 27, 2025</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7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183.3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earnings including noncontrolling interests before income taxes:</w:t>
            </w: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acquisition and integration-related and other costs</w:t>
            </w:r>
          </w:p>
        </w:tc>
        <w:tc>
          <w:tcPr>
            <w:tcW w:w="3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12.4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settlements, reserves and fees</w:t>
            </w:r>
          </w:p>
        </w:tc>
        <w:tc>
          <w:tcPr>
            <w:tcW w:w="380" w:type="dxa"/>
            <w:vAlign w:val="bottom"/>
          </w:tcPr>
          <w:p>
            <w:pPr>
              <w:spacing w:after="0"/>
              <w:rPr>
                <w:sz w:val="21"/>
                <w:szCs w:val="21"/>
                <w:color w:val="auto"/>
              </w:rPr>
            </w:pPr>
          </w:p>
        </w:tc>
        <w:tc>
          <w:tcPr>
            <w:tcW w:w="1480" w:type="dxa"/>
            <w:vAlign w:val="bottom"/>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shd w:val="clear" w:color="auto" w:fill="CCEEFF"/>
          </w:tcPr>
          <w:p>
            <w:pPr>
              <w:spacing w:after="0"/>
              <w:rPr>
                <w:sz w:val="21"/>
                <w:szCs w:val="21"/>
                <w:color w:val="auto"/>
              </w:rPr>
            </w:pPr>
          </w:p>
        </w:tc>
        <w:tc>
          <w:tcPr>
            <w:tcW w:w="78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of indemnification asset</w:t>
            </w:r>
          </w:p>
        </w:tc>
        <w:tc>
          <w:tcPr>
            <w:tcW w:w="3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6.6</w:t>
            </w:r>
          </w:p>
        </w:tc>
        <w:tc>
          <w:tcPr>
            <w:tcW w:w="1440" w:type="dxa"/>
            <w:vAlign w:val="bottom"/>
            <w:tcBorders>
              <w:bottom w:val="single" w:sz="8" w:color="auto"/>
            </w:tcBorders>
            <w:shd w:val="clear" w:color="auto" w:fill="CCEEFF"/>
          </w:tcPr>
          <w:p>
            <w:pPr>
              <w:jc w:val="center"/>
              <w:ind w:left="933"/>
              <w:spacing w:after="0"/>
              <w:rPr>
                <w:sz w:val="20"/>
                <w:szCs w:val="20"/>
                <w:color w:val="auto"/>
              </w:rPr>
            </w:pPr>
            <w:r>
              <w:rPr>
                <w:rFonts w:ascii="Times New Roman" w:cs="Times New Roman" w:eastAsia="Times New Roman" w:hAnsi="Times New Roman"/>
                <w:sz w:val="18"/>
                <w:szCs w:val="18"/>
                <w:color w:val="auto"/>
                <w:w w:val="98"/>
              </w:rPr>
              <w:t>(0.3)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auto"/>
            </w:tcBorders>
          </w:tcPr>
          <w:p>
            <w:pPr>
              <w:spacing w:after="0"/>
              <w:rPr>
                <w:sz w:val="21"/>
                <w:szCs w:val="21"/>
                <w:color w:val="auto"/>
              </w:rPr>
            </w:pPr>
          </w:p>
        </w:tc>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Adjusted earnings before income taxes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Income Tax Expense to Adjusted Income Tax Expense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2"/>
          </w:tcPr>
          <w:p>
            <w:pPr>
              <w:jc w:val="right"/>
              <w:ind w:right="953"/>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23"/>
        </w:trPr>
        <w:tc>
          <w:tcPr>
            <w:tcW w:w="7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8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October 3, 2026</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27, 2025</w:t>
            </w:r>
          </w:p>
        </w:tc>
        <w:tc>
          <w:tcPr>
            <w:tcW w:w="0" w:type="dxa"/>
            <w:vAlign w:val="bottom"/>
          </w:tcPr>
          <w:p>
            <w:pPr>
              <w:spacing w:after="0"/>
              <w:rPr>
                <w:sz w:val="1"/>
                <w:szCs w:val="1"/>
                <w:color w:val="auto"/>
              </w:rPr>
            </w:pPr>
          </w:p>
        </w:tc>
      </w:tr>
      <w:tr>
        <w:trPr>
          <w:trHeight w:val="23"/>
        </w:trPr>
        <w:tc>
          <w:tcPr>
            <w:tcW w:w="7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20.1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income tax expense:</w:t>
            </w: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 adjustments of uncertain tax position</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6.6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tax related items</w:t>
            </w:r>
          </w:p>
        </w:tc>
        <w:tc>
          <w:tcPr>
            <w:tcW w:w="360" w:type="dxa"/>
            <w:vAlign w:val="bottom"/>
          </w:tcPr>
          <w:p>
            <w:pPr>
              <w:spacing w:after="0"/>
              <w:rPr>
                <w:sz w:val="21"/>
                <w:szCs w:val="21"/>
                <w:color w:val="auto"/>
              </w:rPr>
            </w:pPr>
          </w:p>
        </w:tc>
        <w:tc>
          <w:tcPr>
            <w:tcW w:w="1480" w:type="dxa"/>
            <w:vAlign w:val="bottom"/>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7.5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effect of adjusting items</w:t>
            </w: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4.9</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44"/>
        </w:trPr>
        <w:tc>
          <w:tcPr>
            <w:tcW w:w="7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income tax expense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39.1</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56"/>
        </w:trPr>
        <w:tc>
          <w:tcPr>
            <w:tcW w:w="78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income tax expense to adjusted earnings before income taxes</w:t>
            </w: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19.3%</w:t>
            </w:r>
          </w:p>
        </w:tc>
        <w:tc>
          <w:tcPr>
            <w:tcW w:w="14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bl>
    <w:p>
      <w:pPr>
        <w:sectPr>
          <w:pgSz w:w="11900" w:h="16838" w:orient="portrait"/>
          <w:cols w:equalWidth="0" w:num="1">
            <w:col w:w="11220"/>
          </w:cols>
          <w:pgMar w:left="320" w:top="118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US GAAP to non-GAAP presentation</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supplements its condensed consolidated financial statements, which are prepared and presented in accordance with US GAAP, with certain non-GAAP financial measures. As required by the Securities and Exchange Commission rules, the tables above present a reconciliation of the Company’s non-GAAP financial measures to the most directly comparable US GAAP measure. Each of the non-GAAP measures set forth above should be considered in addition to the comparable US GAAP measure, and may not be comparable to similarly titled measures reported by other companies. The Company believes these non-GAAP measures, when reconciled to the corresponding US GAAP measure, help its investors as follows: Non-GAAP revenue measures that assist in identifying growth trends and in comparisons of revenue with prior and future periods and non-GAAP profitability measures that assist in understanding the long-term profitability trends of the Company's business and in comparisons of its profits with prior and future periods.</w:t>
      </w:r>
    </w:p>
    <w:p>
      <w:pPr>
        <w:spacing w:after="0" w:line="1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excludes certain items from its non-GAAP revenue measures because these items can vary dramatically between periods and can obscure underlying business trends. Items excluded from the Company’s non-GAAP revenue measures include: foreign currency transactions and translation; more or fewer shipping days in a period and the impact of acquisitions.</w:t>
      </w:r>
    </w:p>
    <w:p>
      <w:pPr>
        <w:spacing w:after="0" w:line="1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Company excludes certain items from its non-GAAP profitability measures because these items may not be indicative of, or are unrelated to, the Company's core operating performance. Items excluded from the Company's non-GAAP profitability measures include: restructuring, acquisition and integration-related and other costs, legal settlements, reserves and fees, impairment of goodwill and indefinite-lived intangibles, acquisition purchase accounting, including inventory step-up from purchase accounting, adjustments of indemnification asset, adjustments of uncertain tax position and European tax restructuring.</w:t>
      </w:r>
    </w:p>
    <w:p>
      <w:pPr>
        <w:sectPr>
          <w:pgSz w:w="11900" w:h="16838" w:orient="portrait"/>
          <w:cols w:equalWidth="0" w:num="1">
            <w:col w:w="11240"/>
          </w:cols>
          <w:pgMar w:left="320" w:top="1265" w:right="339" w:bottom="1440" w:gutter="0" w:footer="0" w:header="0"/>
        </w:sectPr>
      </w:pPr>
    </w:p>
    <w:bookmarkStart w:id="18" w:name="page19"/>
    <w:bookmarkEnd w:id="18"/>
    <w:p>
      <w:pPr>
        <w:jc w:val="center"/>
        <w:ind w:left="340" w:right="780"/>
        <w:spacing w:after="0" w:line="301" w:lineRule="auto"/>
        <w:rPr>
          <w:sz w:val="20"/>
          <w:szCs w:val="20"/>
          <w:color w:val="auto"/>
        </w:rPr>
      </w:pPr>
      <w:r>
        <w:rPr>
          <w:rFonts w:ascii="Times New Roman" w:cs="Times New Roman" w:eastAsia="Times New Roman" w:hAnsi="Times New Roman"/>
          <w:sz w:val="25"/>
          <w:szCs w:val="25"/>
          <w:b w:val="1"/>
          <w:bCs w:val="1"/>
          <w:color w:val="auto"/>
        </w:rPr>
        <w:t>MOHAWK INDUSTRIES INTRODUCES STRATEGIC AND CAPITAL ALLOCATION FRAMEWORK AND ANNOUNCES NEW $500 MILLION SHARE REPURCHASE AUTHORIZATION</w:t>
      </w:r>
    </w:p>
    <w:p>
      <w:pPr>
        <w:spacing w:after="0" w:line="200" w:lineRule="exact"/>
        <w:rPr>
          <w:sz w:val="20"/>
          <w:szCs w:val="20"/>
          <w:color w:val="auto"/>
        </w:rPr>
      </w:pPr>
    </w:p>
    <w:p>
      <w:pPr>
        <w:spacing w:after="0" w:line="322" w:lineRule="exact"/>
        <w:rPr>
          <w:sz w:val="20"/>
          <w:szCs w:val="20"/>
          <w:color w:val="auto"/>
        </w:rPr>
      </w:pPr>
    </w:p>
    <w:p>
      <w:pPr>
        <w:jc w:val="both"/>
        <w:ind w:firstLine="648"/>
        <w:spacing w:after="0" w:line="479" w:lineRule="auto"/>
        <w:rPr>
          <w:sz w:val="20"/>
          <w:szCs w:val="20"/>
          <w:color w:val="auto"/>
        </w:rPr>
      </w:pPr>
      <w:r>
        <w:rPr>
          <w:rFonts w:ascii="Times New Roman" w:cs="Times New Roman" w:eastAsia="Times New Roman" w:hAnsi="Times New Roman"/>
          <w:sz w:val="22"/>
          <w:szCs w:val="22"/>
          <w:b w:val="1"/>
          <w:bCs w:val="1"/>
          <w:color w:val="auto"/>
        </w:rPr>
        <w:t xml:space="preserve">Calhoun, Georgia, October 29, 2026 </w:t>
      </w:r>
      <w:r>
        <w:rPr>
          <w:rFonts w:ascii="Times New Roman" w:cs="Times New Roman" w:eastAsia="Times New Roman" w:hAnsi="Times New Roman"/>
          <w:sz w:val="22"/>
          <w:szCs w:val="22"/>
          <w:color w:val="auto"/>
        </w:rPr>
        <w:t>— Mohawk Industries, Inc. (NYSE: MHK), the world’s largest flooring and design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surfaces company, today introduced the strategic and capital allocation framework that will guide the Company’s priorities and shareholder value creation approach over the long term.</w:t>
      </w:r>
    </w:p>
    <w:p>
      <w:pPr>
        <w:spacing w:after="0" w:line="1" w:lineRule="exact"/>
        <w:rPr>
          <w:sz w:val="20"/>
          <w:szCs w:val="20"/>
          <w:color w:val="auto"/>
        </w:rPr>
      </w:pPr>
    </w:p>
    <w:p>
      <w:pPr>
        <w:ind w:firstLine="648"/>
        <w:spacing w:after="0" w:line="473" w:lineRule="auto"/>
        <w:rPr>
          <w:sz w:val="20"/>
          <w:szCs w:val="20"/>
          <w:color w:val="auto"/>
        </w:rPr>
      </w:pPr>
      <w:r>
        <w:rPr>
          <w:rFonts w:ascii="Times New Roman" w:cs="Times New Roman" w:eastAsia="Times New Roman" w:hAnsi="Times New Roman"/>
          <w:sz w:val="22"/>
          <w:szCs w:val="22"/>
          <w:color w:val="auto"/>
        </w:rPr>
        <w:t>The framework was developed by management in collaboration with the Board of Directors, which has approved the plan. Consistent with the framework’s priorities, the Board has also approved a new share repurchase program authorizing the Company to repurchase up to $500 million of its common stock. Management will discuss the framework in more detail on the Company’s third quarter 2026 earnings conference call on Friday, October 30, 2026.</w:t>
      </w:r>
    </w:p>
    <w:p>
      <w:pPr>
        <w:spacing w:after="0" w:line="4" w:lineRule="exact"/>
        <w:rPr>
          <w:sz w:val="20"/>
          <w:szCs w:val="20"/>
          <w:color w:val="auto"/>
        </w:rPr>
      </w:pPr>
    </w:p>
    <w:p>
      <w:pPr>
        <w:ind w:right="280" w:firstLine="648"/>
        <w:spacing w:after="0" w:line="475" w:lineRule="auto"/>
        <w:rPr>
          <w:sz w:val="20"/>
          <w:szCs w:val="20"/>
          <w:color w:val="auto"/>
        </w:rPr>
      </w:pPr>
      <w:r>
        <w:rPr>
          <w:rFonts w:ascii="Times New Roman" w:cs="Times New Roman" w:eastAsia="Times New Roman" w:hAnsi="Times New Roman"/>
          <w:sz w:val="22"/>
          <w:szCs w:val="22"/>
          <w:color w:val="auto"/>
        </w:rPr>
        <w:t>Commenting on the updates, CEO Paul De Cock stated, “Mohawk’s strengths – our leading market positions, our recognized brands, our innovation expertise, our customer relationships, and the scale and efficiency of our manufacturing and distribution – remain firmly in place. Amplifying our strengths with a clear and defined strategic and capital allocation framework will sharpen our focus, support disciplined execution, and underpin strong cash generation. We will strategically invest to grow and will deploy excess free cash to create value for shareholders through buybacks.”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STRATEGIC FRAMEWORK</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is aligning its actions and investments around a strategic framework comprising four pillars:</w:t>
      </w:r>
    </w:p>
    <w:p>
      <w:pPr>
        <w:spacing w:after="0" w:line="24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Outperforming our Markets</w:t>
      </w:r>
    </w:p>
    <w:p>
      <w:pPr>
        <w:spacing w:after="0" w:line="245"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Product Innovation and Brand Strength</w:t>
      </w:r>
    </w:p>
    <w:p>
      <w:pPr>
        <w:spacing w:after="0" w:line="245"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Profitability and Operational Excellence</w:t>
      </w:r>
    </w:p>
    <w:p>
      <w:pPr>
        <w:spacing w:after="0" w:line="245"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Cash Generation and Capital Discipline</w:t>
      </w:r>
    </w:p>
    <w:p>
      <w:pPr>
        <w:sectPr>
          <w:pgSz w:w="11900" w:h="16838" w:orient="portrait"/>
          <w:cols w:equalWidth="0" w:num="1">
            <w:col w:w="11240"/>
          </w:cols>
          <w:pgMar w:left="320" w:top="133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These goals and underlying actions are in support of delivering more value to customers and more value per share to investors.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CAPITAL ALLOCATION FRAMEWORK</w:t>
      </w:r>
    </w:p>
    <w:p>
      <w:pPr>
        <w:spacing w:after="0" w:line="251" w:lineRule="exact"/>
        <w:rPr>
          <w:sz w:val="20"/>
          <w:szCs w:val="20"/>
          <w:color w:val="auto"/>
        </w:rPr>
      </w:pPr>
    </w:p>
    <w:p>
      <w:pPr>
        <w:ind w:firstLine="648"/>
        <w:spacing w:after="0" w:line="471" w:lineRule="auto"/>
        <w:rPr>
          <w:sz w:val="20"/>
          <w:szCs w:val="20"/>
          <w:color w:val="auto"/>
        </w:rPr>
      </w:pPr>
      <w:r>
        <w:rPr>
          <w:rFonts w:ascii="Times New Roman" w:cs="Times New Roman" w:eastAsia="Times New Roman" w:hAnsi="Times New Roman"/>
          <w:sz w:val="22"/>
          <w:szCs w:val="22"/>
          <w:color w:val="auto"/>
        </w:rPr>
        <w:t>To support the Company's strategy execution, management is also introducing a capital allocation framework based on the following priorities:</w:t>
      </w:r>
    </w:p>
    <w:p>
      <w:pPr>
        <w:spacing w:after="0" w:line="2" w:lineRule="exact"/>
        <w:rPr>
          <w:sz w:val="20"/>
          <w:szCs w:val="20"/>
          <w:color w:val="auto"/>
        </w:rPr>
      </w:pPr>
    </w:p>
    <w:p>
      <w:pPr>
        <w:jc w:val="both"/>
        <w:ind w:left="980" w:hanging="324"/>
        <w:spacing w:after="0" w:line="477" w:lineRule="auto"/>
        <w:tabs>
          <w:tab w:leader="none" w:pos="975"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 xml:space="preserve">Organic Investment: </w:t>
      </w:r>
      <w:r>
        <w:rPr>
          <w:rFonts w:ascii="Times New Roman" w:cs="Times New Roman" w:eastAsia="Times New Roman" w:hAnsi="Times New Roman"/>
          <w:sz w:val="22"/>
          <w:szCs w:val="22"/>
          <w:color w:val="auto"/>
        </w:rPr>
        <w:t>Invest in the highest-returning organic opportunities that sustain its core strengths, with limited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need for additional capacity and baseline capital expenditures expected to be approximately $375 million annually for at least the next several years.</w:t>
      </w:r>
    </w:p>
    <w:p>
      <w:pPr>
        <w:spacing w:after="0" w:line="1" w:lineRule="exact"/>
        <w:rPr>
          <w:rFonts w:ascii="Arial" w:cs="Arial" w:eastAsia="Arial" w:hAnsi="Arial"/>
          <w:sz w:val="22"/>
          <w:szCs w:val="22"/>
          <w:color w:val="auto"/>
        </w:rPr>
      </w:pPr>
    </w:p>
    <w:p>
      <w:pPr>
        <w:ind w:left="980" w:hanging="324"/>
        <w:spacing w:after="0" w:line="472" w:lineRule="auto"/>
        <w:tabs>
          <w:tab w:leader="none" w:pos="975"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 xml:space="preserve">Inorganic Investment: </w:t>
      </w:r>
      <w:r>
        <w:rPr>
          <w:rFonts w:ascii="Times New Roman" w:cs="Times New Roman" w:eastAsia="Times New Roman" w:hAnsi="Times New Roman"/>
          <w:sz w:val="22"/>
          <w:szCs w:val="22"/>
          <w:color w:val="auto"/>
        </w:rPr>
        <w:t>Disciplined evaluation of bolt-on acquisitions, executed only where they generate the highest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returns and bring strategic value beyond the financial return.</w:t>
      </w:r>
    </w:p>
    <w:p>
      <w:pPr>
        <w:spacing w:after="0" w:line="2" w:lineRule="exact"/>
        <w:rPr>
          <w:rFonts w:ascii="Arial" w:cs="Arial" w:eastAsia="Arial" w:hAnsi="Arial"/>
          <w:sz w:val="22"/>
          <w:szCs w:val="22"/>
          <w:color w:val="auto"/>
        </w:rPr>
      </w:pPr>
    </w:p>
    <w:p>
      <w:pPr>
        <w:ind w:left="980" w:right="20" w:hanging="324"/>
        <w:spacing w:after="0" w:line="474" w:lineRule="auto"/>
        <w:tabs>
          <w:tab w:leader="none" w:pos="975"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Share Repurchases</w:t>
      </w:r>
      <w:r>
        <w:rPr>
          <w:rFonts w:ascii="Times New Roman" w:cs="Times New Roman" w:eastAsia="Times New Roman" w:hAnsi="Times New Roman"/>
          <w:sz w:val="22"/>
          <w:szCs w:val="22"/>
          <w:color w:val="auto"/>
        </w:rPr>
        <w:t>: Consistent return to shareholders, through share repurchases, of capital not deployed in support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these priorities.</w:t>
      </w:r>
    </w:p>
    <w:p>
      <w:pPr>
        <w:spacing w:after="0" w:line="2" w:lineRule="exact"/>
        <w:rPr>
          <w:sz w:val="20"/>
          <w:szCs w:val="20"/>
          <w:color w:val="auto"/>
        </w:rPr>
      </w:pPr>
    </w:p>
    <w:p>
      <w:pPr>
        <w:jc w:val="both"/>
        <w:ind w:firstLine="648"/>
        <w:spacing w:after="0" w:line="487" w:lineRule="auto"/>
        <w:rPr>
          <w:sz w:val="20"/>
          <w:szCs w:val="20"/>
          <w:color w:val="auto"/>
        </w:rPr>
      </w:pPr>
      <w:r>
        <w:rPr>
          <w:rFonts w:ascii="Times New Roman" w:cs="Times New Roman" w:eastAsia="Times New Roman" w:hAnsi="Times New Roman"/>
          <w:sz w:val="22"/>
          <w:szCs w:val="22"/>
          <w:color w:val="auto"/>
        </w:rPr>
        <w:t>In addition, the Company seeks to maintain a strong and efficient balance sheet with a long-term net debt to adjusted EBITDA target of up to 2.0x, subject to a continuous assessment of cyclical risk and the Company’s commitment to its investment-grade credit ratings.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SHARE REPURCHASE AUTHORIZATION</w:t>
      </w:r>
    </w:p>
    <w:p>
      <w:pPr>
        <w:spacing w:after="0" w:line="251" w:lineRule="exact"/>
        <w:rPr>
          <w:sz w:val="20"/>
          <w:szCs w:val="20"/>
          <w:color w:val="auto"/>
        </w:rPr>
      </w:pPr>
    </w:p>
    <w:p>
      <w:pPr>
        <w:jc w:val="both"/>
        <w:ind w:firstLine="648"/>
        <w:spacing w:after="0" w:line="473" w:lineRule="auto"/>
        <w:rPr>
          <w:sz w:val="20"/>
          <w:szCs w:val="20"/>
          <w:color w:val="auto"/>
        </w:rPr>
      </w:pPr>
      <w:r>
        <w:rPr>
          <w:rFonts w:ascii="Times New Roman" w:cs="Times New Roman" w:eastAsia="Times New Roman" w:hAnsi="Times New Roman"/>
          <w:sz w:val="22"/>
          <w:szCs w:val="22"/>
          <w:color w:val="auto"/>
        </w:rPr>
        <w:t>The Company is announcing a new $500 million share repurchase program, effective immediately, which follows the completion of its prior $500 million authorization, approved in July 2025.</w:t>
      </w:r>
    </w:p>
    <w:p>
      <w:pPr>
        <w:spacing w:after="0" w:line="2" w:lineRule="exact"/>
        <w:rPr>
          <w:sz w:val="20"/>
          <w:szCs w:val="20"/>
          <w:color w:val="auto"/>
        </w:rPr>
      </w:pPr>
    </w:p>
    <w:p>
      <w:pPr>
        <w:jc w:val="both"/>
        <w:ind w:firstLine="648"/>
        <w:spacing w:after="0" w:line="473" w:lineRule="auto"/>
        <w:rPr>
          <w:sz w:val="20"/>
          <w:szCs w:val="20"/>
          <w:color w:val="auto"/>
        </w:rPr>
      </w:pPr>
      <w:r>
        <w:rPr>
          <w:rFonts w:ascii="Times New Roman" w:cs="Times New Roman" w:eastAsia="Times New Roman" w:hAnsi="Times New Roman"/>
          <w:sz w:val="22"/>
          <w:szCs w:val="22"/>
          <w:color w:val="auto"/>
        </w:rPr>
        <w:t>Under the prior program, the Company repurchased approximately 7% of shares outstanding at an average price of approximately $119 per share, including $261 million of repurchases in the third quarter of 2026 and $34 million in the fourth quarter to date.</w:t>
      </w:r>
    </w:p>
    <w:p>
      <w:pPr>
        <w:spacing w:after="0" w:line="3" w:lineRule="exact"/>
        <w:rPr>
          <w:sz w:val="20"/>
          <w:szCs w:val="20"/>
          <w:color w:val="auto"/>
        </w:rPr>
      </w:pPr>
    </w:p>
    <w:p>
      <w:pPr>
        <w:jc w:val="both"/>
        <w:ind w:firstLine="648"/>
        <w:spacing w:after="0" w:line="484" w:lineRule="auto"/>
        <w:rPr>
          <w:sz w:val="20"/>
          <w:szCs w:val="20"/>
          <w:color w:val="auto"/>
        </w:rPr>
      </w:pPr>
      <w:r>
        <w:rPr>
          <w:rFonts w:ascii="Times New Roman" w:cs="Times New Roman" w:eastAsia="Times New Roman" w:hAnsi="Times New Roman"/>
          <w:sz w:val="22"/>
          <w:szCs w:val="22"/>
          <w:color w:val="auto"/>
        </w:rPr>
        <w:t>Under the new authorization, the Company may purchase common stock in open market transactions, block or privately negotiated transactions, pursuant to trading plans in accordance with Rule 10b5-1 and Rule 10b-18 under the Securities Exchange Act of 1934, as amended, or by any combination of such methods. The timing and amount of repurchases will depend on the Company’s cash generation, net leverage, market conditions, the price of the Company’s common stock and other factors. No time limit has been set for</w:t>
      </w:r>
    </w:p>
    <w:p>
      <w:pPr>
        <w:sectPr>
          <w:pgSz w:w="11900" w:h="16838" w:orient="portrait"/>
          <w:cols w:equalWidth="0" w:num="1">
            <w:col w:w="11240"/>
          </w:cols>
          <w:pgMar w:left="320" w:top="97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completion of the program, which does not obligate the Company to repurchase any specific number of shares and may be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suspended or discontinued at any time.</w:t>
      </w:r>
    </w:p>
    <w:p>
      <w:pPr>
        <w:sectPr>
          <w:pgSz w:w="11900" w:h="16838" w:orient="portrait"/>
          <w:cols w:equalWidth="0" w:num="1">
            <w:col w:w="11240"/>
          </w:cols>
          <w:pgMar w:left="320" w:top="97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color w:val="auto"/>
        </w:rPr>
        <w:t>ABOUT MOHAWK INDUSTRIES</w:t>
      </w:r>
    </w:p>
    <w:p>
      <w:pPr>
        <w:spacing w:after="0" w:line="138"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Over the past two decades, Mohawk Industries has transformed its business into the world’s largest flooring and design surfaces company with leading positions in North America, Europe, South America and Oceania. Mohawk’s vertically integrated manufacturing and distribution operations provide a competitive advantage in the production of ceramic tile, carpet and laminate, wood, vinyl and hybrid flooring products. Mohawk’s industry-leading innovation has yielded designs and performance enhancements that differentiate its collections in the marketplace and satisfy all residential and commercial remodeling and new construction requirements. The Company’s brands are among the most recognized and respected in the industry and include American Olean, Daltile, Durkan, Eliane, Elizabeth, Feltex, Godfrey Hirst, Karastan, Marazzi, Mohawk, Mohawk Group, Mohawk Home, Mohawk Performance Accessories, Pergo, Quick-Step, Unilin and Vitromex.</w:t>
      </w:r>
    </w:p>
    <w:p>
      <w:pPr>
        <w:spacing w:after="0" w:line="21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Certain of the statements in this press release, particularly those anticipating future performance, business prospects, growth and operating strategies, and similar matters, and those that include the words “could,” “should,” “believes,” “anticipates,” “expects” and “estimates” or similar expressions constitute “forward-looking statements” within the meaning of Section 27A of the Securities Act of 1933, as amended, and Section 21E of the Securities Exchange Act of 1934, as amended. For those statements, Mohawk Industries, Inc. (“Mohawk” or the “Company”) claims the protection of the safe harbor for forward-looking statements contained in the Private Securities Litigation Reform Act of 1995. Management believes that these forward-looking statements are reasonable as and when made; however, caution should be taken not to place undue reliance on any such forward-looking statements because such statements speak only as of the date when made. The Company undertakes no obligation to publicly update or revise any forward-looking statements, whether as a result of new information, future events or otherwise, except as required by law. There can be no assurance that the forward-looking statements will be accurate because they are based on many assumptions, which involve risks and uncertainties. Important factors that could cause future results to differ from historical experience and our present expectations or projections include, but are not limited to, the following: changes in economic or industry conditions, including interest rates, availability of credit and residential and commercial construction and remodeling activity; the impact of tariffs and other trade restrictions; competition; inflation and deflation in raw material prices, freight and other input costs; inflation and deflation in consumer markets; currency fluctuations; rising energy costs and changes in the level of supply thereof; supply chain disruption and the availability of raw materials and sourced products; labor availability and costs; timing and level of capital expenditures; timing and implementation of price increases for the Company’s products; impairment charges; identification and consummation of acquisitions on favorable terms, if at all; integration of acquisitions; international operations; introduction of new products; rationalization of operations; tax and tax reform, product and other claims; litigation; geopolitical conflicts; sanctions and import and export restrictions; regulatory and political changes in the jurisdictions in which the Company does business; security breaches and other cybersecurity incidents; emerging issues related to the Company’s integration and use of AI; and other risks identified in Mohawk’s United States Securities and Exchange Commission reports and public announcements.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Conference call Friday, October 30, 2026, at 11:00 AM Eastern Time</w:t>
      </w:r>
    </w:p>
    <w:p>
      <w:pPr>
        <w:spacing w:after="0" w:line="283"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20"/>
          <w:szCs w:val="20"/>
          <w:color w:val="auto"/>
        </w:rPr>
        <w:t xml:space="preserve">To participate in the conference call via the Internet, please visit </w:t>
      </w:r>
      <w:r>
        <w:rPr>
          <w:rFonts w:ascii="Times New Roman" w:cs="Times New Roman" w:eastAsia="Times New Roman" w:hAnsi="Times New Roman"/>
          <w:sz w:val="20"/>
          <w:szCs w:val="20"/>
          <w:b w:val="1"/>
          <w:bCs w:val="1"/>
          <w:color w:val="auto"/>
        </w:rPr>
        <w:t>https://ir.mohawkind.com/events/event-details/mohawk-industries-inc-3rd-quarter-2026-earnings-call</w:t>
      </w:r>
      <w:r>
        <w:rPr>
          <w:rFonts w:ascii="Times New Roman" w:cs="Times New Roman" w:eastAsia="Times New Roman" w:hAnsi="Times New Roman"/>
          <w:sz w:val="20"/>
          <w:szCs w:val="20"/>
          <w:color w:val="auto"/>
        </w:rPr>
        <w:t>. To participate in the conference call via telephone, register in advance at</w:t>
      </w:r>
      <w:r>
        <w:rPr>
          <w:rFonts w:ascii="Times New Roman" w:cs="Times New Roman" w:eastAsia="Times New Roman" w:hAnsi="Times New Roman"/>
          <w:sz w:val="20"/>
          <w:szCs w:val="20"/>
          <w:b w:val="1"/>
          <w:bCs w:val="1"/>
          <w:color w:val="auto"/>
        </w:rPr>
        <w:t xml:space="preserve"> https://dpregister.com/sreg/10211917/104de4a22d1 </w:t>
      </w:r>
      <w:r>
        <w:rPr>
          <w:rFonts w:ascii="Times New Roman" w:cs="Times New Roman" w:eastAsia="Times New Roman" w:hAnsi="Times New Roman"/>
          <w:sz w:val="20"/>
          <w:szCs w:val="20"/>
          <w:color w:val="auto"/>
        </w:rPr>
        <w:t>to receive a unique personal identification number. You may also dial 1-833-630-1962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(U.S./Canada) or 1-412-317-1843 (international) on the day of the call for operator assistance. For those unable to listen at the designated time, the call will remain available for replay through November 27, 2026, by dialing 1-855-669-9658 (U.S./Canada) or 1-412-317-0088 (international) and entering Replay Access Code 7228212. The call will be archived and available for replay for one year under the “Investors” tab of mohawkind.com.</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Joe Ahlersmeyer, CFA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VP, Finance &amp; 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joe_ahlersmeyer@mohawkind.com</w:t>
      </w:r>
    </w:p>
    <w:sectPr>
      <w:pgSz w:w="11900" w:h="16838" w:orient="portrait"/>
      <w:cols w:equalWidth="0" w:num="1">
        <w:col w:w="11240"/>
      </w:cols>
      <w:pgMar w:left="320" w:top="9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2026-10-29T16:16:50Z</dcterms:created>
  <dcterms:modified xsi:type="dcterms:W3CDTF">2026-10-29T16:16:50Z</dcterms:modified>
</cp:coreProperties>
</file>