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Nuyttens An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10/19/2026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MOHAWK INDUSTRIES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MHK</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Foreign Trading Symbol</w:t>
      </w:r>
    </w:p>
    <w:p>
      <w:pPr>
        <w:spacing w:after="0" w:line="26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160 SOUTH INDUSTRIAL BLVD.</w:t>
            </w:r>
          </w:p>
        </w:tc>
      </w:tr>
      <w:tr>
        <w:trPr>
          <w:trHeight w:val="300"/>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P.O. BOX 12069</w:t>
            </w:r>
          </w:p>
        </w:tc>
        <w:tc>
          <w:tcPr>
            <w:tcW w:w="13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CALHOUN GA</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30703</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263"/>
        <w:spacing w:after="0"/>
        <w:rPr>
          <w:sz w:val="20"/>
          <w:szCs w:val="20"/>
          <w:color w:val="auto"/>
        </w:rPr>
      </w:pPr>
      <w:r>
        <w:rPr>
          <w:rFonts w:ascii="Times New Roman" w:cs="Times New Roman" w:eastAsia="Times New Roman" w:hAnsi="Times New Roman"/>
          <w:sz w:val="20"/>
          <w:szCs w:val="20"/>
          <w:color w:val="0000FF"/>
        </w:rPr>
        <w:t>PRESIDENT FLOORING ROW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51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6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5"/>
              </w:rPr>
              <w:t>By: /s/ Tiffany Kleimann,</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 An</w:t>
            </w:r>
          </w:p>
        </w:tc>
        <w:tc>
          <w:tcPr>
            <w:tcW w:w="236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10/28/2026</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Nuyttens</w:t>
            </w: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LIMITED POWER OF ATTORNEY FOR</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SEC REPORTING PURPOSES</w:t>
      </w:r>
    </w:p>
    <w:p>
      <w:pPr>
        <w:spacing w:after="0" w:line="188" w:lineRule="exact"/>
        <w:rPr>
          <w:sz w:val="20"/>
          <w:szCs w:val="20"/>
          <w:color w:val="auto"/>
        </w:rPr>
      </w:pPr>
    </w:p>
    <w:p>
      <w:pPr>
        <w:ind w:right="1319"/>
        <w:spacing w:after="0" w:line="251"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each of R. David Patton, Corporate Secretary; Katie Engleman, Senior Vice President - Human Resources;</w:t>
      </w:r>
    </w:p>
    <w:p>
      <w:pPr>
        <w:ind w:right="2019"/>
        <w:spacing w:after="0" w:line="238" w:lineRule="auto"/>
        <w:rPr>
          <w:sz w:val="20"/>
          <w:szCs w:val="20"/>
          <w:color w:val="auto"/>
        </w:rPr>
      </w:pPr>
      <w:r>
        <w:rPr>
          <w:rFonts w:ascii="Courier New" w:cs="Courier New" w:eastAsia="Courier New" w:hAnsi="Courier New"/>
          <w:sz w:val="20"/>
          <w:szCs w:val="20"/>
          <w:color w:val="auto"/>
        </w:rPr>
        <w:t>Tiffany Kleimann, Director - Compensation; Elizabeth Grace Campbell, Deputy General Counsel; any individual who hereafter</w:t>
      </w:r>
    </w:p>
    <w:p>
      <w:pPr>
        <w:spacing w:after="0" w:line="1"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20"/>
          <w:szCs w:val="20"/>
          <w:color w:val="auto"/>
        </w:rPr>
        <w:t>holds any of the foregoing offices; and any duly appointed Assistant Secretary of Mohawk Industries, Inc. (the "Company"), with full power of substitution and re-substitution, acting individually, as the undersigned's true and lawful attorney-in-fact, with full power and authority as hereinafter described on behalf of and in the name, place and stead of the undersigned to:</w:t>
      </w:r>
    </w:p>
    <w:p>
      <w:pPr>
        <w:spacing w:after="0" w:line="112" w:lineRule="exact"/>
        <w:rPr>
          <w:sz w:val="20"/>
          <w:szCs w:val="20"/>
          <w:color w:val="auto"/>
        </w:rPr>
      </w:pPr>
    </w:p>
    <w:p>
      <w:pPr>
        <w:ind w:right="1199"/>
        <w:spacing w:after="0" w:line="271" w:lineRule="auto"/>
        <w:tabs>
          <w:tab w:leader="none" w:pos="46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credentials (including codes or passwords) to enable the undersigned to submit and file documents, forms and information required by Section 16(a) of the Securities Exchange Act of 1934, as amended (the "Exchange Act") or any rule or regulation of the U.S. Securities and Exchange Commission ("SEC") via the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w:t>
      </w:r>
    </w:p>
    <w:p>
      <w:pPr>
        <w:spacing w:after="0" w:line="209" w:lineRule="exact"/>
        <w:rPr>
          <w:rFonts w:ascii="Courier New" w:cs="Courier New" w:eastAsia="Courier New" w:hAnsi="Courier New"/>
          <w:sz w:val="18"/>
          <w:szCs w:val="18"/>
          <w:color w:val="auto"/>
        </w:rPr>
      </w:pPr>
    </w:p>
    <w:p>
      <w:pPr>
        <w:ind w:right="1559"/>
        <w:spacing w:after="0" w:line="238" w:lineRule="auto"/>
        <w:tabs>
          <w:tab w:leader="none" w:pos="46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act as an account administrator for the undersigned's EDGAR account, including:</w:t>
      </w:r>
    </w:p>
    <w:p>
      <w:pPr>
        <w:ind w:right="237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 appointing, removing and replacing account administrators, technical administrators, account users, and delegated entities; (ii) maintaining the security of Filer's EDGAR account, including modification of access codes;</w:t>
      </w:r>
    </w:p>
    <w:p>
      <w:pPr>
        <w:spacing w:after="0" w:line="1" w:lineRule="exact"/>
        <w:rPr>
          <w:rFonts w:ascii="Courier New" w:cs="Courier New" w:eastAsia="Courier New" w:hAnsi="Courier New"/>
          <w:sz w:val="20"/>
          <w:szCs w:val="20"/>
          <w:color w:val="auto"/>
        </w:rPr>
      </w:pPr>
    </w:p>
    <w:p>
      <w:pPr>
        <w:ind w:right="13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(iii) maintaining, modifying and certifying the accuracy of information on the undersigned's EDGAR account dashboard; and</w:t>
      </w: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(iv) taking any other actions contemplated by Rule 10 of Regulation S-T;</w:t>
      </w:r>
    </w:p>
    <w:p>
      <w:pPr>
        <w:jc w:val="both"/>
        <w:ind w:right="1319"/>
        <w:spacing w:after="0" w:line="264"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spacing w:after="0" w:line="3" w:lineRule="exact"/>
        <w:rPr>
          <w:rFonts w:ascii="Courier New" w:cs="Courier New" w:eastAsia="Courier New" w:hAnsi="Courier New"/>
          <w:sz w:val="18"/>
          <w:szCs w:val="18"/>
          <w:color w:val="auto"/>
        </w:rPr>
      </w:pPr>
    </w:p>
    <w:p>
      <w:pPr>
        <w:ind w:right="2019"/>
        <w:spacing w:after="0" w:line="264"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the Company, Forms 3, 4 and 5 relating to the Company in accordance with Section</w:t>
      </w:r>
    </w:p>
    <w:p>
      <w:pPr>
        <w:spacing w:after="0" w:line="2" w:lineRule="exact"/>
        <w:rPr>
          <w:rFonts w:ascii="Courier New" w:cs="Courier New" w:eastAsia="Courier New" w:hAnsi="Courier New"/>
          <w:sz w:val="18"/>
          <w:szCs w:val="18"/>
          <w:color w:val="auto"/>
        </w:rPr>
      </w:pPr>
    </w:p>
    <w:p>
      <w:pPr>
        <w:jc w:val="both"/>
        <w:ind w:right="1199"/>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16(a) of the Exchange Act the rules and regulations promulgated thereunder, and Forms 144 in accordance with Rule 144 under the Securities Act of 1933, as amended (the "Securities Act");</w:t>
      </w:r>
    </w:p>
    <w:p>
      <w:pPr>
        <w:spacing w:after="0" w:line="1" w:lineRule="exact"/>
        <w:rPr>
          <w:rFonts w:ascii="Courier New" w:cs="Courier New" w:eastAsia="Courier New" w:hAnsi="Courier New"/>
          <w:sz w:val="18"/>
          <w:szCs w:val="18"/>
          <w:color w:val="auto"/>
        </w:rPr>
      </w:pPr>
    </w:p>
    <w:p>
      <w:pPr>
        <w:ind w:right="1199"/>
        <w:spacing w:after="0" w:line="238"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p>
      <w:pPr>
        <w:spacing w:after="0" w:line="2" w:lineRule="exact"/>
        <w:rPr>
          <w:rFonts w:ascii="Courier New" w:cs="Courier New" w:eastAsia="Courier New" w:hAnsi="Courier New"/>
          <w:sz w:val="20"/>
          <w:szCs w:val="20"/>
          <w:color w:val="auto"/>
        </w:rPr>
      </w:pPr>
    </w:p>
    <w:p>
      <w:pPr>
        <w:ind w:right="1079"/>
        <w:spacing w:after="0" w:line="238"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complete and execute any such Form 3, 4 or 5, or Forms 144, and any amendments thereto, or other required report and timely file such forms or reports with the SEC, the New York Stock Exchange and any stock exchange or similar authority as considered necessary or advisable under Section 16(a) of the Exchange Act or Rule 144 of the Securities Act; and</w:t>
      </w:r>
    </w:p>
    <w:p>
      <w:pPr>
        <w:spacing w:after="0" w:line="3" w:lineRule="exact"/>
        <w:rPr>
          <w:rFonts w:ascii="Courier New" w:cs="Courier New" w:eastAsia="Courier New" w:hAnsi="Courier New"/>
          <w:sz w:val="20"/>
          <w:szCs w:val="20"/>
          <w:color w:val="auto"/>
        </w:rPr>
      </w:pPr>
    </w:p>
    <w:p>
      <w:pPr>
        <w:ind w:left="940" w:hanging="940"/>
        <w:spacing w:after="0" w:line="238" w:lineRule="auto"/>
        <w:tabs>
          <w:tab w:leader="none" w:pos="94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w:t>
      </w:r>
    </w:p>
    <w:p>
      <w:pPr>
        <w:ind w:right="959"/>
        <w:spacing w:after="0" w:line="286" w:lineRule="auto"/>
        <w:rPr>
          <w:sz w:val="20"/>
          <w:szCs w:val="20"/>
          <w:color w:val="auto"/>
        </w:rPr>
      </w:pPr>
      <w:r>
        <w:rPr>
          <w:rFonts w:ascii="Courier New" w:cs="Courier New" w:eastAsia="Courier New" w:hAnsi="Courier New"/>
          <w:sz w:val="18"/>
          <w:szCs w:val="18"/>
          <w:color w:val="auto"/>
        </w:rPr>
        <w:t>the foregoing that,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sole discretion.</w:t>
      </w:r>
    </w:p>
    <w:p>
      <w:pPr>
        <w:spacing w:after="0" w:line="82" w:lineRule="exact"/>
        <w:rPr>
          <w:sz w:val="20"/>
          <w:szCs w:val="20"/>
          <w:color w:val="auto"/>
        </w:rPr>
      </w:pPr>
    </w:p>
    <w:p>
      <w:pPr>
        <w:ind w:right="1559"/>
        <w:spacing w:after="0" w:line="289" w:lineRule="auto"/>
        <w:rPr>
          <w:sz w:val="20"/>
          <w:szCs w:val="20"/>
          <w:color w:val="auto"/>
        </w:rPr>
      </w:pPr>
      <w:r>
        <w:rPr>
          <w:rFonts w:ascii="Courier New" w:cs="Courier New" w:eastAsia="Courier New" w:hAnsi="Courier New"/>
          <w:sz w:val="18"/>
          <w:szCs w:val="18"/>
          <w:color w:val="auto"/>
        </w:rPr>
        <w:t>The undersigned hereby acknowledges that (a) the foregoing attorneys-in-fact are serving in such capacity at the request of the undersigned; (b) this Limited Power of Attorney authorizes, but does not require, each such attorney-in-fact to act in his or her discretion on information provided to such attorney-in-fact without independent verification of such information; (c) any documents prepared and/or executed by any attorney-in-fact on behalf of the undersigned pursuant</w:t>
      </w:r>
    </w:p>
    <w:p>
      <w:pPr>
        <w:sectPr>
          <w:pgSz w:w="11900" w:h="16882" w:orient="portrait"/>
          <w:cols w:equalWidth="0" w:num="1">
            <w:col w:w="9979"/>
          </w:cols>
          <w:pgMar w:left="480" w:top="106" w:right="1440" w:bottom="0" w:gutter="0" w:footer="0" w:header="0"/>
        </w:sectPr>
      </w:pPr>
    </w:p>
    <w:bookmarkStart w:id="2" w:name="page3"/>
    <w:bookmarkEnd w:id="2"/>
    <w:p>
      <w:pPr>
        <w:ind w:right="1079"/>
        <w:spacing w:after="0" w:line="278" w:lineRule="auto"/>
        <w:rPr>
          <w:sz w:val="20"/>
          <w:szCs w:val="20"/>
          <w:color w:val="auto"/>
        </w:rPr>
      </w:pPr>
      <w:r>
        <w:rPr>
          <w:rFonts w:ascii="Courier New" w:cs="Courier New" w:eastAsia="Courier New" w:hAnsi="Courier New"/>
          <w:sz w:val="18"/>
          <w:szCs w:val="18"/>
          <w:color w:val="auto"/>
        </w:rPr>
        <w:t>to this Limited Power of Attorney shall be in such form and shall contain such information and disclosure as such attorney-in-fact, in his or her sole discretion, deems necessary or advisable; (d) neither the Company nor any attorney-in-fact assumes (i) any liability for the undersigned's responsibility to comply with the requirements of the Exchange Act or the Securities Act, (ii) any liability of the undersigned for any failure to comply with such requirements or (iii) any obligation or liability of the undersigned for profit disgorgement under Section 16(b) of the Exchange Act; and (e) this Limited Power of Attorney does not relieve the undersigned from responsibility for compliance with the undersigned's obligations under the Exchange Act or the Securities Act, including, without limitation, the reporting requirements under Section 16 of the Exchange Act.</w:t>
      </w:r>
    </w:p>
    <w:p>
      <w:pPr>
        <w:spacing w:after="0" w:line="328" w:lineRule="exact"/>
        <w:rPr>
          <w:sz w:val="20"/>
          <w:szCs w:val="20"/>
          <w:color w:val="auto"/>
        </w:rPr>
      </w:pPr>
    </w:p>
    <w:p>
      <w:pPr>
        <w:ind w:right="959"/>
        <w:spacing w:after="0" w:line="260" w:lineRule="auto"/>
        <w:rPr>
          <w:sz w:val="20"/>
          <w:szCs w:val="20"/>
          <w:color w:val="auto"/>
        </w:rPr>
      </w:pPr>
      <w:r>
        <w:rPr>
          <w:rFonts w:ascii="Courier New" w:cs="Courier New" w:eastAsia="Courier New" w:hAnsi="Courier New"/>
          <w:sz w:val="20"/>
          <w:szCs w:val="20"/>
          <w:color w:val="auto"/>
        </w:rPr>
        <w:t>This Limited Power of Attorney shall remain in full force and effect until the undersigned is no longer required to file Forms 3, 4 and 5 or Forms 144 with respect to the undersigned's holdings of, and transactions in, securities issued by the Company, unless earlier revoked as to any attorney-in-fact by the undersigned in a signed writing delivered to such attorney-in-fact.</w:t>
      </w:r>
    </w:p>
    <w:p>
      <w:pPr>
        <w:spacing w:after="0" w:line="328"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15th day of October,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20"/>
          <w:szCs w:val="20"/>
          <w:color w:val="auto"/>
        </w:rPr>
        <w:t>By:</w:t>
        <w:tab/>
        <w:t>/s/ An Nuyttens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An Nuyttens</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61954" TargetMode="External"/><Relationship Id="rId11" Type="http://schemas.openxmlformats.org/officeDocument/2006/relationships/hyperlink" Target="http://www.sec.gov/cgi-bin/browse-edgar?action=getcompany&amp;CIK=000085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2026-10-28T11:10:06Z</dcterms:created>
  <dcterms:modified xsi:type="dcterms:W3CDTF">2026-10-28T11:10:06Z</dcterms:modified>
</cp:coreProperties>
</file>