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2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3" w:lineRule="exact"/>
        <w:rPr>
          <w:sz w:val="24"/>
          <w:szCs w:val="24"/>
          <w:color w:val="auto"/>
        </w:rPr>
      </w:pPr>
    </w:p>
    <w:p>
      <w:pPr>
        <w:ind w:left="46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9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01-13697</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120650</wp:posOffset>
            </wp:positionV>
            <wp:extent cx="1500505"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050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MOHAWK INDUSTRIES,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jc w:val="center"/>
              <w:ind w:left="36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jc w:val="right"/>
              <w:ind w:right="1441"/>
              <w:spacing w:after="0"/>
              <w:rPr>
                <w:sz w:val="20"/>
                <w:szCs w:val="20"/>
                <w:color w:val="auto"/>
              </w:rPr>
            </w:pPr>
            <w:r>
              <w:rPr>
                <w:rFonts w:ascii="Times New Roman" w:cs="Times New Roman" w:eastAsia="Times New Roman" w:hAnsi="Times New Roman"/>
                <w:sz w:val="16"/>
                <w:szCs w:val="16"/>
                <w:b w:val="1"/>
                <w:bCs w:val="1"/>
                <w:color w:val="auto"/>
              </w:rPr>
              <w:t>52-1604305</w:t>
            </w:r>
          </w:p>
        </w:tc>
        <w:tc>
          <w:tcPr>
            <w:tcW w:w="0" w:type="dxa"/>
            <w:vAlign w:val="bottom"/>
          </w:tcPr>
          <w:p>
            <w:pPr>
              <w:spacing w:after="0"/>
              <w:rPr>
                <w:sz w:val="1"/>
                <w:szCs w:val="1"/>
                <w:color w:val="auto"/>
              </w:rPr>
            </w:pPr>
          </w:p>
        </w:tc>
      </w:tr>
      <w:tr>
        <w:trPr>
          <w:trHeight w:val="148"/>
        </w:trPr>
        <w:tc>
          <w:tcPr>
            <w:tcW w:w="3540" w:type="dxa"/>
            <w:vAlign w:val="bottom"/>
          </w:tcPr>
          <w:p>
            <w:pPr>
              <w:jc w:val="center"/>
              <w:ind w:left="3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40" w:type="dxa"/>
            <w:vAlign w:val="bottom"/>
            <w:gridSpan w:val="2"/>
          </w:tcPr>
          <w:p>
            <w:pPr>
              <w:jc w:val="center"/>
              <w:ind w:right="1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4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2"/>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69"/>
        </w:trPr>
        <w:tc>
          <w:tcPr>
            <w:tcW w:w="3540" w:type="dxa"/>
            <w:vAlign w:val="bottom"/>
          </w:tcPr>
          <w:p>
            <w:pPr>
              <w:jc w:val="center"/>
              <w:ind w:left="362"/>
              <w:spacing w:after="0"/>
              <w:rPr>
                <w:sz w:val="20"/>
                <w:szCs w:val="20"/>
                <w:color w:val="auto"/>
              </w:rPr>
            </w:pPr>
            <w:r>
              <w:rPr>
                <w:rFonts w:ascii="Times New Roman" w:cs="Times New Roman" w:eastAsia="Times New Roman" w:hAnsi="Times New Roman"/>
                <w:sz w:val="16"/>
                <w:szCs w:val="16"/>
                <w:b w:val="1"/>
                <w:bCs w:val="1"/>
                <w:color w:val="auto"/>
              </w:rPr>
              <w:t>160 S. Industrial Blvd., Calhoun, Georgia</w:t>
            </w:r>
          </w:p>
        </w:tc>
        <w:tc>
          <w:tcPr>
            <w:tcW w:w="3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0" w:type="dxa"/>
            <w:vAlign w:val="bottom"/>
          </w:tcPr>
          <w:p>
            <w:pPr>
              <w:jc w:val="right"/>
              <w:ind w:right="1621"/>
              <w:spacing w:after="0"/>
              <w:rPr>
                <w:sz w:val="20"/>
                <w:szCs w:val="20"/>
                <w:color w:val="auto"/>
              </w:rPr>
            </w:pPr>
            <w:r>
              <w:rPr>
                <w:rFonts w:ascii="Times New Roman" w:cs="Times New Roman" w:eastAsia="Times New Roman" w:hAnsi="Times New Roman"/>
                <w:sz w:val="16"/>
                <w:szCs w:val="16"/>
                <w:b w:val="1"/>
                <w:bCs w:val="1"/>
                <w:color w:val="auto"/>
              </w:rPr>
              <w:t>30701</w:t>
            </w:r>
          </w:p>
        </w:tc>
        <w:tc>
          <w:tcPr>
            <w:tcW w:w="0" w:type="dxa"/>
            <w:vAlign w:val="bottom"/>
          </w:tcPr>
          <w:p>
            <w:pPr>
              <w:spacing w:after="0"/>
              <w:rPr>
                <w:sz w:val="1"/>
                <w:szCs w:val="1"/>
                <w:color w:val="auto"/>
              </w:rPr>
            </w:pPr>
          </w:p>
        </w:tc>
      </w:tr>
      <w:tr>
        <w:trPr>
          <w:trHeight w:val="190"/>
        </w:trPr>
        <w:tc>
          <w:tcPr>
            <w:tcW w:w="354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tcPr>
          <w:p>
            <w:pPr>
              <w:jc w:val="center"/>
              <w:ind w:right="13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91"/>
        </w:trPr>
        <w:tc>
          <w:tcPr>
            <w:tcW w:w="8120" w:type="dxa"/>
            <w:vAlign w:val="bottom"/>
            <w:gridSpan w:val="4"/>
          </w:tcPr>
          <w:p>
            <w:pPr>
              <w:jc w:val="center"/>
              <w:ind w:left="3062"/>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(706) 629-7721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4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3540" w:type="dxa"/>
            <w:vAlign w:val="bottom"/>
          </w:tcPr>
          <w:p>
            <w:pPr>
              <w:jc w:val="center"/>
              <w:ind w:left="114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4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420" w:type="dxa"/>
            <w:vAlign w:val="bottom"/>
            <w:gridSpan w:val="5"/>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35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540" w:type="dxa"/>
            <w:vAlign w:val="bottom"/>
          </w:tcPr>
          <w:p>
            <w:pPr>
              <w:jc w:val="center"/>
              <w:ind w:left="1142"/>
              <w:spacing w:after="0"/>
              <w:rPr>
                <w:sz w:val="20"/>
                <w:szCs w:val="20"/>
                <w:color w:val="auto"/>
              </w:rPr>
            </w:pPr>
            <w:r>
              <w:rPr>
                <w:rFonts w:ascii="Times New Roman" w:cs="Times New Roman" w:eastAsia="Times New Roman" w:hAnsi="Times New Roman"/>
                <w:sz w:val="16"/>
                <w:szCs w:val="16"/>
                <w:b w:val="1"/>
                <w:bCs w:val="1"/>
                <w:color w:val="auto"/>
              </w:rPr>
              <w:t>Common Stock, $.01 par value</w:t>
            </w:r>
          </w:p>
        </w:tc>
        <w:tc>
          <w:tcPr>
            <w:tcW w:w="3140" w:type="dxa"/>
            <w:vAlign w:val="bottom"/>
          </w:tcPr>
          <w:p>
            <w:pPr>
              <w:jc w:val="center"/>
              <w:ind w:left="782"/>
              <w:spacing w:after="0"/>
              <w:rPr>
                <w:sz w:val="20"/>
                <w:szCs w:val="20"/>
                <w:color w:val="auto"/>
              </w:rPr>
            </w:pPr>
            <w:r>
              <w:rPr>
                <w:rFonts w:ascii="Times New Roman" w:cs="Times New Roman" w:eastAsia="Times New Roman" w:hAnsi="Times New Roman"/>
                <w:sz w:val="16"/>
                <w:szCs w:val="16"/>
                <w:b w:val="1"/>
                <w:bCs w:val="1"/>
                <w:color w:val="auto"/>
                <w:w w:val="99"/>
              </w:rPr>
              <w:t>MHK</w:t>
            </w:r>
          </w:p>
        </w:tc>
        <w:tc>
          <w:tcPr>
            <w:tcW w:w="1060" w:type="dxa"/>
            <w:vAlign w:val="bottom"/>
          </w:tcPr>
          <w:p>
            <w:pPr>
              <w:spacing w:after="0"/>
              <w:rPr>
                <w:sz w:val="17"/>
                <w:szCs w:val="17"/>
                <w:color w:val="auto"/>
              </w:rPr>
            </w:pPr>
          </w:p>
        </w:tc>
        <w:tc>
          <w:tcPr>
            <w:tcW w:w="3360" w:type="dxa"/>
            <w:vAlign w:val="bottom"/>
            <w:gridSpan w:val="4"/>
          </w:tcPr>
          <w:p>
            <w:pPr>
              <w:jc w:val="center"/>
              <w:ind w:right="1321"/>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95"/>
        </w:trPr>
        <w:tc>
          <w:tcPr>
            <w:tcW w:w="8120" w:type="dxa"/>
            <w:vAlign w:val="bottom"/>
            <w:gridSpan w:val="4"/>
          </w:tcPr>
          <w:p>
            <w:pPr>
              <w:jc w:val="center"/>
              <w:ind w:left="3002"/>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340" w:type="dxa"/>
            <w:vAlign w:val="bottom"/>
          </w:tcPr>
          <w:p>
            <w:pPr>
              <w:spacing w:after="0"/>
              <w:rPr>
                <w:sz w:val="24"/>
                <w:szCs w:val="24"/>
                <w:color w:val="auto"/>
              </w:rPr>
            </w:pPr>
          </w:p>
        </w:tc>
        <w:tc>
          <w:tcPr>
            <w:tcW w:w="24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w w:val="87"/>
              </w:rPr>
              <w:t>☒</w:t>
            </w:r>
          </w:p>
        </w:tc>
        <w:tc>
          <w:tcPr>
            <w:tcW w:w="2400" w:type="dxa"/>
            <w:vAlign w:val="bottom"/>
            <w:vMerge w:val="restart"/>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53"/>
        </w:trPr>
        <w:tc>
          <w:tcPr>
            <w:tcW w:w="812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88"/>
              </w:rPr>
              <w:t>Yes</w:t>
            </w:r>
          </w:p>
        </w:tc>
        <w:tc>
          <w:tcPr>
            <w:tcW w:w="240" w:type="dxa"/>
            <w:vAlign w:val="bottom"/>
            <w:vMerge w:val="continue"/>
          </w:tcPr>
          <w:p>
            <w:pPr>
              <w:spacing w:after="0"/>
              <w:rPr>
                <w:sz w:val="22"/>
                <w:szCs w:val="22"/>
                <w:color w:val="auto"/>
              </w:rPr>
            </w:pPr>
          </w:p>
        </w:tc>
        <w:tc>
          <w:tcPr>
            <w:tcW w:w="2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77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tc>
        <w:tc>
          <w:tcPr>
            <w:tcW w:w="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Yes</w:t>
            </w:r>
          </w:p>
        </w:tc>
        <w:tc>
          <w:tcPr>
            <w:tcW w:w="3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No</w:t>
            </w:r>
          </w:p>
        </w:tc>
        <w:tc>
          <w:tcPr>
            <w:tcW w:w="240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ind w:right="120" w:firstLine="445"/>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firstLine="445"/>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280" w:firstLine="445"/>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0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0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39" w:lineRule="exact"/>
        <w:rPr>
          <w:sz w:val="24"/>
          <w:szCs w:val="24"/>
          <w:color w:val="auto"/>
        </w:rPr>
      </w:pPr>
    </w:p>
    <w:p>
      <w:pPr>
        <w:ind w:right="80" w:firstLine="445"/>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14" w:right="399" w:bottom="1440" w:gutter="0" w:footer="0" w:header="0"/>
        </w:sectPr>
      </w:pPr>
    </w:p>
    <w:bookmarkStart w:id="1" w:name="page2"/>
    <w:bookmarkEnd w:id="1"/>
    <w:p>
      <w:pPr>
        <w:jc w:val="both"/>
        <w:ind w:right="100"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96" w:lineRule="exact"/>
        <w:rPr>
          <w:sz w:val="20"/>
          <w:szCs w:val="20"/>
          <w:color w:val="auto"/>
        </w:rPr>
      </w:pPr>
    </w:p>
    <w:p>
      <w:pPr>
        <w:ind w:firstLine="445"/>
        <w:spacing w:after="0" w:line="20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7" w:lineRule="exact"/>
        <w:rPr>
          <w:sz w:val="20"/>
          <w:szCs w:val="20"/>
          <w:color w:val="auto"/>
        </w:rPr>
      </w:pPr>
    </w:p>
    <w:p>
      <w:pPr>
        <w:ind w:right="20"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82" w:lineRule="exact"/>
        <w:rPr>
          <w:sz w:val="20"/>
          <w:szCs w:val="20"/>
          <w:color w:val="auto"/>
        </w:rPr>
      </w:pPr>
    </w:p>
    <w:p>
      <w:pPr>
        <w:ind w:left="460"/>
        <w:spacing w:after="0" w:line="184" w:lineRule="exact"/>
        <w:tabs>
          <w:tab w:leader="none" w:pos="7320" w:val="left"/>
          <w:tab w:leader="none" w:pos="79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92" w:lineRule="exact"/>
        <w:rPr>
          <w:sz w:val="20"/>
          <w:szCs w:val="20"/>
          <w:color w:val="auto"/>
        </w:rPr>
      </w:pPr>
    </w:p>
    <w:p>
      <w:pPr>
        <w:jc w:val="both"/>
        <w:ind w:right="100" w:firstLine="445"/>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Common Stock of the Registrant held by non-affiliates of the Registrant (51,252,513 shares) on June 27, 2025 (the last business day of the Registrant’s most recently completed fiscal second quarter) was $5,376,388,614. The aggregate market value was computed by reference to the closing price of the Common Stock on such date.</w:t>
      </w:r>
    </w:p>
    <w:p>
      <w:pPr>
        <w:spacing w:after="0" w:line="9" w:lineRule="exact"/>
        <w:rPr>
          <w:sz w:val="20"/>
          <w:szCs w:val="20"/>
          <w:color w:val="auto"/>
        </w:rPr>
      </w:pPr>
    </w:p>
    <w:p>
      <w:pPr>
        <w:ind w:right="160" w:firstLine="445"/>
        <w:spacing w:after="0" w:line="298" w:lineRule="auto"/>
        <w:rPr>
          <w:sz w:val="20"/>
          <w:szCs w:val="20"/>
          <w:color w:val="auto"/>
        </w:rPr>
      </w:pPr>
      <w:r>
        <w:rPr>
          <w:rFonts w:ascii="Times New Roman" w:cs="Times New Roman" w:eastAsia="Times New Roman" w:hAnsi="Times New Roman"/>
          <w:sz w:val="16"/>
          <w:szCs w:val="16"/>
          <w:color w:val="auto"/>
        </w:rPr>
        <w:t>Number of shares of Common Stock outstanding as of February 19, 2026: 61,460,358 shares of Common Stock, $.01 par value. Mohawk Industries, Inc. common stock trades on the New York Stock Exchange under symbol MHK.</w:t>
      </w:r>
    </w:p>
    <w:p>
      <w:pPr>
        <w:spacing w:after="0" w:line="284" w:lineRule="exact"/>
        <w:rPr>
          <w:sz w:val="20"/>
          <w:szCs w:val="20"/>
          <w:color w:val="auto"/>
        </w:rPr>
      </w:pPr>
    </w:p>
    <w:p>
      <w:pPr>
        <w:ind w:left="460" w:right="3660" w:firstLine="3311"/>
        <w:spacing w:after="0" w:line="371" w:lineRule="auto"/>
        <w:rPr>
          <w:sz w:val="20"/>
          <w:szCs w:val="20"/>
          <w:color w:val="auto"/>
        </w:rPr>
      </w:pPr>
      <w:r>
        <w:rPr>
          <w:rFonts w:ascii="Times New Roman" w:cs="Times New Roman" w:eastAsia="Times New Roman" w:hAnsi="Times New Roman"/>
          <w:sz w:val="16"/>
          <w:szCs w:val="16"/>
          <w:b w:val="1"/>
          <w:bCs w:val="1"/>
          <w:color w:val="auto"/>
        </w:rPr>
        <w:t xml:space="preserve">DOCUMENTS INCORPORATED BY REFERENCE </w:t>
      </w:r>
      <w:r>
        <w:rPr>
          <w:rFonts w:ascii="Times New Roman" w:cs="Times New Roman" w:eastAsia="Times New Roman" w:hAnsi="Times New Roman"/>
          <w:sz w:val="16"/>
          <w:szCs w:val="16"/>
          <w:color w:val="auto"/>
        </w:rPr>
        <w:t>Portions of the definitive Proxy Statement for the 2026 Annual Meeting of Stockholders-Part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7"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500" w:type="dxa"/>
            <w:vAlign w:val="bottom"/>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bottom w:val="single" w:sz="8" w:color="auto"/>
            </w:tcBorders>
            <w:gridSpan w:val="3"/>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w w:val="94"/>
              </w:rPr>
              <w:t>No.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Forward Looking Statements</w:t>
            </w:r>
          </w:p>
        </w:tc>
        <w:tc>
          <w:tcPr>
            <w:tcW w:w="106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0000FF"/>
              </w:rPr>
              <w:t>3</w:t>
            </w:r>
          </w:p>
        </w:tc>
        <w:tc>
          <w:tcPr>
            <w:tcW w:w="0" w:type="dxa"/>
            <w:vAlign w:val="bottom"/>
          </w:tcPr>
          <w:p>
            <w:pPr>
              <w:spacing w:after="0"/>
              <w:rPr>
                <w:sz w:val="1"/>
                <w:szCs w:val="1"/>
                <w:color w:val="auto"/>
              </w:rPr>
            </w:pPr>
          </w:p>
        </w:tc>
      </w:tr>
      <w:tr>
        <w:trPr>
          <w:trHeight w:val="283"/>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0000FF"/>
              </w:rPr>
              <w:t>Part I</w:t>
            </w: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Business</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4</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1A.</w:t>
            </w:r>
          </w:p>
        </w:tc>
        <w:tc>
          <w:tcPr>
            <w:tcW w:w="10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7"/>
              </w:rPr>
              <w:t>Risk Factors</w:t>
            </w:r>
          </w:p>
        </w:tc>
        <w:tc>
          <w:tcPr>
            <w:tcW w:w="7700" w:type="dxa"/>
            <w:vAlign w:val="bottom"/>
            <w:gridSpan w:val="16"/>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13</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1B.</w:t>
            </w:r>
          </w:p>
        </w:tc>
        <w:tc>
          <w:tcPr>
            <w:tcW w:w="226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w w:val="98"/>
              </w:rPr>
              <w:t>Unresolved Staff Comments</w:t>
            </w:r>
          </w:p>
        </w:tc>
        <w:tc>
          <w:tcPr>
            <w:tcW w:w="6440" w:type="dxa"/>
            <w:vAlign w:val="bottom"/>
            <w:gridSpan w:val="9"/>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24</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1C.</w:t>
            </w:r>
          </w:p>
        </w:tc>
        <w:tc>
          <w:tcPr>
            <w:tcW w:w="11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7"/>
              </w:rPr>
              <w:t>Cybersecurity</w:t>
            </w:r>
          </w:p>
        </w:tc>
        <w:tc>
          <w:tcPr>
            <w:tcW w:w="1140" w:type="dxa"/>
            <w:vAlign w:val="bottom"/>
            <w:gridSpan w:val="6"/>
          </w:tcPr>
          <w:p>
            <w:pPr>
              <w:spacing w:after="0"/>
              <w:rPr>
                <w:sz w:val="20"/>
                <w:szCs w:val="20"/>
                <w:color w:val="auto"/>
              </w:rPr>
            </w:pPr>
          </w:p>
        </w:tc>
        <w:tc>
          <w:tcPr>
            <w:tcW w:w="6440" w:type="dxa"/>
            <w:vAlign w:val="bottom"/>
            <w:gridSpan w:val="9"/>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2.</w:t>
            </w:r>
          </w:p>
        </w:tc>
        <w:tc>
          <w:tcPr>
            <w:tcW w:w="11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Properties</w:t>
            </w:r>
          </w:p>
        </w:tc>
        <w:tc>
          <w:tcPr>
            <w:tcW w:w="7580" w:type="dxa"/>
            <w:vAlign w:val="bottom"/>
            <w:gridSpan w:val="15"/>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26</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3.</w:t>
            </w:r>
          </w:p>
        </w:tc>
        <w:tc>
          <w:tcPr>
            <w:tcW w:w="144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4"/>
              </w:rPr>
              <w:t>Legal Proceedings</w:t>
            </w:r>
          </w:p>
        </w:tc>
        <w:tc>
          <w:tcPr>
            <w:tcW w:w="7260" w:type="dxa"/>
            <w:vAlign w:val="bottom"/>
            <w:gridSpan w:val="14"/>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4.</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26</w:t>
            </w:r>
          </w:p>
        </w:tc>
        <w:tc>
          <w:tcPr>
            <w:tcW w:w="0" w:type="dxa"/>
            <w:vAlign w:val="bottom"/>
          </w:tcPr>
          <w:p>
            <w:pPr>
              <w:spacing w:after="0"/>
              <w:rPr>
                <w:sz w:val="1"/>
                <w:szCs w:val="1"/>
                <w:color w:val="auto"/>
              </w:rPr>
            </w:pPr>
          </w:p>
        </w:tc>
      </w:tr>
      <w:tr>
        <w:trPr>
          <w:trHeight w:val="507"/>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0000FF"/>
              </w:rPr>
              <w:t>Part II</w:t>
            </w: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auto"/>
                <w:w w:val="98"/>
              </w:rPr>
              <w:t>Item 5.</w:t>
            </w:r>
          </w:p>
        </w:tc>
        <w:tc>
          <w:tcPr>
            <w:tcW w:w="840" w:type="dxa"/>
            <w:vAlign w:val="bottom"/>
            <w:gridSpan w:val="3"/>
          </w:tcPr>
          <w:p>
            <w:pPr>
              <w:spacing w:after="0"/>
              <w:rPr>
                <w:sz w:val="20"/>
                <w:szCs w:val="20"/>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Market for Registrant’s Common Equity, Related Stockholder Matters and Issuer Purchases of Equity</w:t>
            </w:r>
          </w:p>
        </w:tc>
        <w:tc>
          <w:tcPr>
            <w:tcW w:w="106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0000FF"/>
              </w:rPr>
              <w:t>27</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6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Securities</w:t>
            </w:r>
          </w:p>
        </w:tc>
        <w:tc>
          <w:tcPr>
            <w:tcW w:w="640" w:type="dxa"/>
            <w:vAlign w:val="bottom"/>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6.</w:t>
            </w:r>
          </w:p>
        </w:tc>
        <w:tc>
          <w:tcPr>
            <w:tcW w:w="7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6"/>
              </w:rPr>
              <w:t>Reserved</w:t>
            </w:r>
          </w:p>
        </w:tc>
        <w:tc>
          <w:tcPr>
            <w:tcW w:w="60" w:type="dxa"/>
            <w:vAlign w:val="bottom"/>
            <w:tcBorders>
              <w:top w:val="single" w:sz="8" w:color="0000FF"/>
            </w:tcBorders>
          </w:tcPr>
          <w:p>
            <w:pPr>
              <w:spacing w:after="0"/>
              <w:rPr>
                <w:sz w:val="19"/>
                <w:szCs w:val="19"/>
                <w:color w:val="auto"/>
              </w:rPr>
            </w:pPr>
          </w:p>
        </w:tc>
        <w:tc>
          <w:tcPr>
            <w:tcW w:w="7900" w:type="dxa"/>
            <w:vAlign w:val="bottom"/>
            <w:gridSpan w:val="17"/>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27</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7.</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7A.</w:t>
            </w:r>
          </w:p>
        </w:tc>
        <w:tc>
          <w:tcPr>
            <w:tcW w:w="476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w w:val="97"/>
              </w:rPr>
              <w:t>Quantitative and Qualitative Disclosures About Market Risk</w:t>
            </w:r>
          </w:p>
        </w:tc>
        <w:tc>
          <w:tcPr>
            <w:tcW w:w="2340" w:type="dxa"/>
            <w:vAlign w:val="bottom"/>
            <w:gridSpan w:val="3"/>
          </w:tcPr>
          <w:p>
            <w:pPr>
              <w:spacing w:after="0"/>
              <w:rPr>
                <w:sz w:val="20"/>
                <w:szCs w:val="20"/>
                <w:color w:val="auto"/>
              </w:rPr>
            </w:pPr>
          </w:p>
        </w:tc>
        <w:tc>
          <w:tcPr>
            <w:tcW w:w="1600" w:type="dxa"/>
            <w:vAlign w:val="bottom"/>
            <w:gridSpan w:val="3"/>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39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8.</w:t>
            </w:r>
          </w:p>
        </w:tc>
        <w:tc>
          <w:tcPr>
            <w:tcW w:w="476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w w:val="98"/>
              </w:rPr>
              <w:t>Consolidated Financial Statements and Supplementary Data</w:t>
            </w:r>
          </w:p>
        </w:tc>
        <w:tc>
          <w:tcPr>
            <w:tcW w:w="3940" w:type="dxa"/>
            <w:vAlign w:val="bottom"/>
            <w:gridSpan w:val="6"/>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40</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9.</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Changes in and Disagreements with Accountants on Accounting and Financial Disclosure</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83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9A.</w:t>
            </w:r>
          </w:p>
        </w:tc>
        <w:tc>
          <w:tcPr>
            <w:tcW w:w="71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1600" w:type="dxa"/>
            <w:vAlign w:val="bottom"/>
            <w:gridSpan w:val="3"/>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83</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9B.</w:t>
            </w:r>
          </w:p>
        </w:tc>
        <w:tc>
          <w:tcPr>
            <w:tcW w:w="19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6760" w:type="dxa"/>
            <w:vAlign w:val="bottom"/>
            <w:gridSpan w:val="12"/>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83</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9C.</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84</w:t>
            </w:r>
          </w:p>
        </w:tc>
        <w:tc>
          <w:tcPr>
            <w:tcW w:w="0" w:type="dxa"/>
            <w:vAlign w:val="bottom"/>
          </w:tcPr>
          <w:p>
            <w:pPr>
              <w:spacing w:after="0"/>
              <w:rPr>
                <w:sz w:val="1"/>
                <w:szCs w:val="1"/>
                <w:color w:val="auto"/>
              </w:rPr>
            </w:pPr>
          </w:p>
        </w:tc>
      </w:tr>
      <w:tr>
        <w:trPr>
          <w:trHeight w:val="507"/>
        </w:trPr>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b w:val="1"/>
                <w:bCs w:val="1"/>
                <w:color w:val="0000FF"/>
                <w:w w:val="96"/>
              </w:rPr>
              <w:t>Part III</w:t>
            </w:r>
          </w:p>
        </w:tc>
        <w:tc>
          <w:tcPr>
            <w:tcW w:w="76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10.</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85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11.</w:t>
            </w:r>
          </w:p>
        </w:tc>
        <w:tc>
          <w:tcPr>
            <w:tcW w:w="4500" w:type="dxa"/>
            <w:vAlign w:val="bottom"/>
            <w:gridSpan w:val="13"/>
          </w:tcPr>
          <w:p>
            <w:pPr>
              <w:spacing w:after="0"/>
              <w:rPr>
                <w:sz w:val="20"/>
                <w:szCs w:val="20"/>
                <w:color w:val="auto"/>
              </w:rPr>
            </w:pPr>
            <w:r>
              <w:rPr>
                <w:rFonts w:ascii="Times New Roman" w:cs="Times New Roman" w:eastAsia="Times New Roman" w:hAnsi="Times New Roman"/>
                <w:sz w:val="20"/>
                <w:szCs w:val="20"/>
                <w:color w:val="0000FF"/>
              </w:rPr>
              <w:t>Executive Compensation</w:t>
            </w:r>
          </w:p>
        </w:tc>
        <w:tc>
          <w:tcPr>
            <w:tcW w:w="4200" w:type="dxa"/>
            <w:vAlign w:val="bottom"/>
            <w:gridSpan w:val="7"/>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85</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12.</w:t>
            </w:r>
          </w:p>
        </w:tc>
        <w:tc>
          <w:tcPr>
            <w:tcW w:w="802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w w:val="98"/>
              </w:rPr>
              <w:t>Security Ownership of Certain Beneficial Owners and Management and Related Stockholder Matters</w:t>
            </w:r>
          </w:p>
        </w:tc>
        <w:tc>
          <w:tcPr>
            <w:tcW w:w="680" w:type="dxa"/>
            <w:vAlign w:val="bottom"/>
            <w:gridSpan w:val="2"/>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85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13.</w:t>
            </w:r>
          </w:p>
        </w:tc>
        <w:tc>
          <w:tcPr>
            <w:tcW w:w="60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w w:val="98"/>
              </w:rPr>
              <w:t>Certain Relationships and Related Transactions, and Director Independence</w:t>
            </w:r>
          </w:p>
        </w:tc>
        <w:tc>
          <w:tcPr>
            <w:tcW w:w="2020" w:type="dxa"/>
            <w:vAlign w:val="bottom"/>
            <w:gridSpan w:val="2"/>
          </w:tcPr>
          <w:p>
            <w:pPr>
              <w:spacing w:after="0"/>
              <w:rPr>
                <w:sz w:val="20"/>
                <w:szCs w:val="20"/>
                <w:color w:val="auto"/>
              </w:rPr>
            </w:pPr>
          </w:p>
        </w:tc>
        <w:tc>
          <w:tcPr>
            <w:tcW w:w="680" w:type="dxa"/>
            <w:vAlign w:val="bottom"/>
            <w:gridSpan w:val="2"/>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85</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1500" w:type="dxa"/>
            <w:vAlign w:val="bottom"/>
            <w:tcBorders>
              <w:right w:val="single" w:sz="8" w:color="0000FF"/>
            </w:tcBorders>
            <w:gridSpan w:val="5"/>
            <w:shd w:val="clear" w:color="auto" w:fill="0000FF"/>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14.</w:t>
            </w:r>
          </w:p>
        </w:tc>
        <w:tc>
          <w:tcPr>
            <w:tcW w:w="60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Principal Accounting Fees and Services</w:t>
            </w:r>
          </w:p>
        </w:tc>
        <w:tc>
          <w:tcPr>
            <w:tcW w:w="2700" w:type="dxa"/>
            <w:vAlign w:val="bottom"/>
            <w:gridSpan w:val="4"/>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86</w:t>
            </w:r>
          </w:p>
        </w:tc>
        <w:tc>
          <w:tcPr>
            <w:tcW w:w="0" w:type="dxa"/>
            <w:vAlign w:val="bottom"/>
          </w:tcPr>
          <w:p>
            <w:pPr>
              <w:spacing w:after="0"/>
              <w:rPr>
                <w:sz w:val="1"/>
                <w:szCs w:val="1"/>
                <w:color w:val="auto"/>
              </w:rPr>
            </w:pPr>
          </w:p>
        </w:tc>
      </w:tr>
      <w:tr>
        <w:trPr>
          <w:trHeight w:val="507"/>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0000FF"/>
              </w:rPr>
              <w:t>Part IV</w:t>
            </w: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15.</w:t>
            </w:r>
          </w:p>
        </w:tc>
        <w:tc>
          <w:tcPr>
            <w:tcW w:w="320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w w:val="98"/>
              </w:rPr>
              <w:t>Exhibits, Financial Statement Schedules</w:t>
            </w:r>
          </w:p>
        </w:tc>
        <w:tc>
          <w:tcPr>
            <w:tcW w:w="5500" w:type="dxa"/>
            <w:vAlign w:val="bottom"/>
            <w:gridSpan w:val="8"/>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87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16.</w:t>
            </w:r>
          </w:p>
        </w:tc>
        <w:tc>
          <w:tcPr>
            <w:tcW w:w="320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Form 10-K Summary</w:t>
            </w:r>
          </w:p>
        </w:tc>
        <w:tc>
          <w:tcPr>
            <w:tcW w:w="5500" w:type="dxa"/>
            <w:vAlign w:val="bottom"/>
            <w:gridSpan w:val="8"/>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89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Certain of the statements in this Form 10-K, particularly those anticipating future performance, business prospects, growth and operating strategies, and similar matters, and those that include the words “could,” “should,” “believes,” “anticipates,” “expects” and “estimates” or similar expressions constitute “forward-looking statements” within the meaning of Section 27A of the Securities Act of 1933, as amended, and Section 21E of the Securities Exchange Act of 1934, as amended. For those statements, Mohawk Industries, Inc. (the “Company”) claims the protection of the safe harbor for forward-looking statements contained in the Private Securities Litigation Reform Act of 1995. Management believes that these forward-looking statements are reasonable as and when made; however, caution should be taken not to place undue reliance on any such forward-looking statements because such statements speak only as of the date when made. The Company undertakes no obligation to publicly update or revise any forward-looking statements, whether as a result of new information, future events or otherwise, except as required by law. There can be no assurance that the forward-looking statements will be accurate because they are based on many assumptions, which involve risks and uncertainties. Important factors that could cause future results to differ from historical experience and our present expectations or projections include, but are not limited to, the following: changes in economic or industry conditions; the impact of tariffs; competition; inflation and deflation in raw material prices, freight and other input costs; inflation and deflation in consumer markets; currency fluctuations; energy costs and supply; timing and level of capital expenditures; timing and implementation of price increases for the Company’s products; impairment charges; identification and consummation of acquisitions on favorable terms, if at all; integration of acquisitions; international operations; introduction of new products; rationalization of operations; tax and tax reform, product and other claims; litigation; geopolitical conflicts; regulatory and political changes in the jurisdictions in which the Company does business; and other risks identified in Mohawk’s United States Securities and Exchange Commission reports and public announcements.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Unless this Form 10-K indicates otherwise or the context otherwise requires, the terms “we,” “our,” “us,” “Mohawk,” or “the Company” as used in this Form 10-K refer to Mohawk Industries,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Mohawk is a leading global flooring manufacturer that creates products to enhance residential and commercial spaces around the world. The Company’s vertically integrated manufacturing and distribution processes provide competitive advantages in ceramic tile, carpet, rugs, laminate, wood, stone, luxury vinyl tile (“LVT”), hybrid and sheet vinyl flooring. The Company’s industry-leading innovation develops products and technologies that differentiate its brands in the marketplace and satisfy all flooring-related remodeling and new construction requirements. The Company’s brands are among the most recognized in the industry and include American Olean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Daltile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Decortiles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Durkan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Eliane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Elizabeth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Feltex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Godfrey Hirst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IVC Home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Karastan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Kerama Marazzi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Marazzi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Moduleo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Mohawk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Pergo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Quick-Step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Unilin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Vitromex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During the past two decades, the Company has transformed its business from an American carpet manufacturer into the world’s largest flooring company with operations in Asia, Europe, North America, Oceania and South America. The Company had annual net sales in 2025 of $10.8 billion. Approximately 54% of this amount was generated by sales in the United States, and approximately 46% was generated by sales outside the United States. The Company has three reporting segments: Global Ceramic, Flooring North America (“Flooring NA”) and Flooring Rest of the World (“Flooring ROW”) with their 2025 net sales representing 40%, 34% and 26%, respectively, of the Company’s total revenue. Selected financial information for the three segments, geographic net sales and the location of long-lived assets are set forth in Note 17,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Global Ceramic designs, manufactures, sources, distributes and markets a broad line of ceramic, porcelain and natural stone tile products used for floor and wall applications in residential and commercial channels for both remodeling and new construction. In addition, Global Ceramic manufactures, sources and distributes other products, including natural stone, porcelain slabs and quartz countertops, as well as installation materials. Global Ceramic markets and distributes its products under various brands, including the following: American Olean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Daltile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Decortiles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Eliane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Elizabeth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EmilGroup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KAI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Kerama Marazzi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Marazzi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Ragno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Vitromex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Segment sells its products through home centers, Company-owned service centers, Company-owned and franchised stores, floor covering retailers, ceramic tile specialists, e-commerce retailers, residential builders, independent distributors, commercial contractors and commercial end users. Global Ceramic operations are vertically integrated from the production of raw material for body and glaze preparation to the manufacturing and distribution of the Segment’s product lines.</w:t>
      </w:r>
    </w:p>
    <w:p>
      <w:pPr>
        <w:spacing w:after="0" w:line="216"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8"/>
          <w:szCs w:val="18"/>
          <w:color w:val="auto"/>
        </w:rPr>
        <w:t>Flooring NA designs, manufactures, sources, distributes and markets a broad range of floor covering products in a variety of colors, textures and patterns for both residential and commercial remodeling and new construction channels. The Segment’s product lines include broadloom carpet, carpet tile, rugs and mats, carpet pad, laminate, medium-density fiberboard (“MDF”), wood flooring, LVT, hybrid flooring and sheet vinyl. Flooring NA markets and distributes its flooring products under various brands, including the following: Aladdin Commercial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Durkan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IVC Resilient Design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Karastan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Mohawk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Mohawk Group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Mohawk Home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Pergo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Portico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Quick-Step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Segment sells its products through floor covering retailers, home centers, mass merchandisers, department stores, e-commerce retailers, shop at home, buying groups, residential builders, independent distributors, commercial contractors and commercial end users. Flooring NA operations are vertically integrated from the production of raw material to the manufacturing and distribution of the Segment’s product lines.</w:t>
      </w:r>
    </w:p>
    <w:p>
      <w:pPr>
        <w:spacing w:after="0" w:line="21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Flooring ROW designs, manufactures, sources, distributes and markets a broad variety of laminate, LVT and sheet vinyl, wood flooring, broadloom carpet and carpet tile collections used in residential and commercial markets for both remodeling and new construction. In addition, Flooring ROW manufactures roofing panels, insulation boards, mezzanine flooring, MDF, decorative panels and chipboards primarily for the European market. The Segment also licenses certain patents related to flooring manufacturing throughout the world. The Segment markets and distributes its products under various brands, including the following: Feltex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GH Commercial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Godfrey Hirst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Hycraft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IVC Home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Lentex Flooring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Leoline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Moduleo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Mohawk Group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Pergo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Quick-Step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Redbook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Unilin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Segment sells its products through floor covering retailers, wholesalers, home centers, Company-operated distributors, independent distributors, residential builders, commercial contractors and commercial end users. Flooring ROW operations are vertically integrated from the production of raw material to the manufacturing and distribution of the Segment’s product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Mohawk’s business strategy provides a consistent vision for the organization and focuses employees around the globe on key priorities by providing continuity for the Company’s operating principles and ensuring an emphasis on exceeding customer expectations.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strategy’s key points are cascaded down through the organization:</w:t>
      </w:r>
    </w:p>
    <w:p>
      <w:pPr>
        <w:spacing w:after="0" w:line="25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Company’s position as the industry’s preferred provider by delivering exceptional value to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Treating employees fairly to retain the best organization;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innovation in all aspects of the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reasonable, well considered risks to grow the business;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communities in which the Company operates.</w:t>
      </w:r>
    </w:p>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Mohawk is committed to responsible growth and delivering value to the Company’s stockholders and customers through tailoring its operational presence in the markets the Company serves, including through:</w:t>
      </w:r>
    </w:p>
    <w:p>
      <w:pPr>
        <w:spacing w:after="0" w:line="21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Operational Excellence </w:t>
      </w:r>
      <w:r>
        <w:rPr>
          <w:rFonts w:ascii="Times New Roman" w:cs="Times New Roman" w:eastAsia="Times New Roman" w:hAnsi="Times New Roman"/>
          <w:sz w:val="18"/>
          <w:szCs w:val="18"/>
          <w:color w:val="auto"/>
        </w:rPr>
        <w:t>through simplified operations, improved productivity, expanded sustainable processes, enhanced analytics and automation</w:t>
      </w:r>
    </w:p>
    <w:p>
      <w:pPr>
        <w:spacing w:after="0" w:line="20" w:lineRule="exact"/>
        <w:rPr>
          <w:rFonts w:ascii="Arial" w:cs="Arial" w:eastAsia="Arial" w:hAnsi="Arial"/>
          <w:sz w:val="22"/>
          <w:szCs w:val="22"/>
          <w:color w:val="auto"/>
        </w:rPr>
      </w:pPr>
    </w:p>
    <w:p>
      <w:pPr>
        <w:ind w:left="660" w:right="20" w:hanging="328"/>
        <w:spacing w:after="0" w:line="236"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Market Development &amp; Penetration </w:t>
      </w:r>
      <w:r>
        <w:rPr>
          <w:rFonts w:ascii="Times New Roman" w:cs="Times New Roman" w:eastAsia="Times New Roman" w:hAnsi="Times New Roman"/>
          <w:sz w:val="18"/>
          <w:szCs w:val="18"/>
          <w:color w:val="auto"/>
        </w:rPr>
        <w:t>through higher sales to existing customers, sales of existing products to new customers and expansion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markets</w:t>
      </w:r>
    </w:p>
    <w:p>
      <w:pPr>
        <w:spacing w:after="0" w:line="20" w:lineRule="exact"/>
        <w:rPr>
          <w:rFonts w:ascii="Times New Roman" w:cs="Times New Roman" w:eastAsia="Times New Roman" w:hAnsi="Times New Roman"/>
          <w:sz w:val="22"/>
          <w:szCs w:val="22"/>
          <w:color w:val="auto"/>
        </w:rPr>
      </w:pPr>
    </w:p>
    <w:p>
      <w:pPr>
        <w:ind w:left="660" w:hanging="328"/>
        <w:spacing w:after="0" w:line="243"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Product Innovation &amp; Improvement </w:t>
      </w:r>
      <w:r>
        <w:rPr>
          <w:rFonts w:ascii="Times New Roman" w:cs="Times New Roman" w:eastAsia="Times New Roman" w:hAnsi="Times New Roman"/>
          <w:sz w:val="18"/>
          <w:szCs w:val="18"/>
          <w:color w:val="auto"/>
        </w:rPr>
        <w:t>through higher-value product creation, enhanced design and features for existing products &amp; emphasis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sustainable products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Non-Organic Growth </w:t>
      </w:r>
      <w:r>
        <w:rPr>
          <w:rFonts w:ascii="Times New Roman" w:cs="Times New Roman" w:eastAsia="Times New Roman" w:hAnsi="Times New Roman"/>
          <w:sz w:val="18"/>
          <w:szCs w:val="18"/>
          <w:color w:val="auto"/>
        </w:rPr>
        <w:t>through mergers and acquisitions.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Mohawk is taking action to optimize the Company’s manufacturing and distribution footprint to reduce complexity, improve productivity, and align capacity with anticipated future market demand. During 2022 and 2023, the Company implemented restructuring actions, productivity initiatives and manufacturing enhancements focused on reducing costs and improving future performance, including certain facility, asset and product rationalizations and workforce reductions. In 2024 and 2025, the Company announced further restructuring actions to take advantage of additional opportunities related to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described above</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Strengths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Position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Mohawk’s fashionable and innovative products, successful participation in all sales channels, creative marketing tools and programs and extensive sales resources have enabled the Company to build market leadership positions in multiple geographies, primarily North America, Europe, Latin America and Oceania, as well as to export products to approximately 180 countries. In North America, Mohawk’s largest marketplace, the Company has leveraged its brands, broad offering and award-winning merchandising to build strong positions across all product categories. In Europe, similar advantages have supported market leadership in ceramic tile, premium laminate and sheet vinyl. The Company also has established a strong position in the growing LVT market in the United States and Europe, with investments to expand capacity and align the product offering with market trends. In 2023, the Company further expanded its presence in Brazil through the acquisition of Elizabeth Revestimentos, a leading Brazilian ceramic tile business with manufacturing facilities strategically located throughout that country. In 2023, the Company also acquired Vitromex, a leading Mexican ceramic tile business with four manufacturing facilities strategically located throughout that country, further solidifying the Company’s leading position in the Mexico ceramic tile market.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Innovation</w:t>
      </w:r>
    </w:p>
    <w:p>
      <w:pPr>
        <w:spacing w:after="0" w:line="24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Mohawk drives performance through innovation and process improvements across all product categories. In ceramic, this includes proprietary Sublime Sync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3D Ink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technologies that create more realistic visuals and textures to mimic the appearance of other surfaces, such as long planks with the visuals and texture of natural wood as well as tiles that mimic natural stone, cement, textiles and other alternatives. The Company has pioneered an innovative ceramic tile technology called StepWise™ that is infused into its top-quality porcelain tile to significantly improve slip resistance. Given the frequent use of ceramic tile in kitchens and baths, the Company has also introduced numerous collections featuring antimicrobial treatment that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becomes a permanent part of the product. The Company manufactures large-scale porcelain slabs that can replicate the look of natural stone but are harder and more durable. In addition to satisfying demand for their domestic markets, porcelain slabs produced in Europe are also exported to North America, where along with the Company’s quartz countertop and natural stone slab offerings they provide customers with a comprehensive array of surface options.</w:t>
      </w:r>
    </w:p>
    <w:p>
      <w:pPr>
        <w:spacing w:after="0" w:line="20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In carpet, the Company’s proprietary fiber technologies include SmartStrand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its brand extensions, which are made in part with annually renewable plant-based materials and were the first super-soft stain-resistant products on the market. In the growing polyester carpet category, the Company’s patented Continuum™ process adds bulk and softness to polyester fiber made from recycled plastic bottles, differentiating the Company’s products in the market.</w:t>
      </w:r>
    </w:p>
    <w:p>
      <w:pPr>
        <w:spacing w:after="0" w:line="19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In laminate, the Company’s patented Uniclic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installation technology revolutionized the category and has been adapted into the LVT and wood categories, as well. The Company continues to deliver new innovations such as unique HydroSeal™ water-resistance that has extended the laminate category into kitchens and baths, more realistic visuals with GenuEdge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pressed bevel edges and surface embossing in register that precisely recreates the appearance of wood. As consumer preference for water-proof flooring has increased, the Company has introduced a propriety technology called WetProtect™ that makes the joints of installed laminate and LVT water tight and prevents liquid spills from reaching the subfloor.</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Company’s resilient flooring products reflect significant investments in leading-edge technology that yield incredibly realistic reproductions of stone, wood and other materials with embossed finishes that create more realistic visuals. To complement the beauty of its LVT collections, the Company has also enhanced the performance of its premium rigid products with a stone-plastic composite core and an enhanced lacquer finish to provide a dent proof, scratch resistant surface that can withstand today’s active family homes. The Company has recently introduced two PVC-free water-proof hybrid flooring alternative options: PureTech™, a sustainable alternative that incorporates 70% recycled content and Solid Tech R™, which is made with a core comprised of stone and ten recycled plastic bottles per square foot to create a durable, high-performance product.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Excellence</w:t>
      </w:r>
    </w:p>
    <w:p>
      <w:pPr>
        <w:spacing w:after="0" w:line="25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Mohawk’s highly efficient manufacturing and distribution assets serve as the foundation for successful growth. By leveraging continuous process improvement and automation, the Company’s operations drive innovation, quality and value. Through its commitment to sustainability practices, the Company has also optimized natural resources and raw materials. The Company has invested to expand capacity, introduce differentiated new products and improve efficiencies. In particular, the Company’s capital investments have improved recently acquired businesses by upgrading product offerings, expanding distribution and improving productivity. Mohawk continues to receive recognition from leading media platforms, including accolades for its positive work environment from </w:t>
      </w:r>
      <w:r>
        <w:rPr>
          <w:rFonts w:ascii="Times New Roman" w:cs="Times New Roman" w:eastAsia="Times New Roman" w:hAnsi="Times New Roman"/>
          <w:sz w:val="18"/>
          <w:szCs w:val="18"/>
          <w:i w:val="1"/>
          <w:iCs w:val="1"/>
          <w:color w:val="auto"/>
        </w:rPr>
        <w:t>Newsweek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Forbes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Fortune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its professional and leadership development programs from </w:t>
      </w:r>
      <w:r>
        <w:rPr>
          <w:rFonts w:ascii="Times New Roman" w:cs="Times New Roman" w:eastAsia="Times New Roman" w:hAnsi="Times New Roman"/>
          <w:sz w:val="18"/>
          <w:szCs w:val="18"/>
          <w:i w:val="1"/>
          <w:iCs w:val="1"/>
          <w:color w:val="auto"/>
        </w:rPr>
        <w:t>Training Magazine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Europe, the Company has been formally designated as a Top Employer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multiple years.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Stewardship and Sustainability</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Mohawk’s approach to responsible business practices brings together a commitment to people, environmental stewardship and strong, transparent governance.</w:t>
      </w:r>
    </w:p>
    <w:p>
      <w:pPr>
        <w:spacing w:after="0" w:line="18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Mohawk's dedication to people comes to life through its work in employee engagement, health, safety, workforce development, and community involvement. Mohawk invests in workforce training through a structured program that spans the organization from entry level to senior leadership. The Company has leveraged subject matter experts, training programs and other resources to sustain a safe working environment and continually reduce workplace risks. In the U.S. and Mexico, Mohawk provides on-site, near-site, and virtual Healthy Life Centers to assist employees and their families with health management and access to care. Mohawk also engages in community-focused efforts, including a collaboration with ArtLifting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adapt artwork by artists with disabilities into commercial flooring collections as well as a 25-year partnership with Susan G. Komen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support breast cancer awareness, patient support and research.</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Environmental stewardship is advanced through a focus on using resources efficiently, developing innovative products and operating responsibly. Mohawk integrates circularity into product design and manufacturing by incorporating significant amounts of recycled and reclaimed materials across its portfolio. Each year, the company transforms billions of discarded plastic bottles into polyester carpet fiber and hybrid hard surface flooring; diverts millions of pounds of reclaimed wood into laminate flooring, chipboards, and decorative panels; and repurposes millions of pounds of used tires into durable crumb rubber mats. Within its ceramic tile and carpet operations, Mohawk further advances circularity by reusing a substantial portion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manufacturing waste to create new, first quality products, reducing both resource consumption and landfill impact. Mohawk’s Supplier Code of Conduct outlines the Company’s expectations that its vendors align their values and practices with Mohawk’s own. Mohawk also invests in energy efficiency across its manufacturing and logistics facilities and generates energy through solar panels, wind turbines, and waste-to-energy systems that utilize scrap wood. From 2023 to 2025, USA Today included Mohawk in its first three annual lists of America’s Climate Leaders, companies that are making the largest reductions in their carbon emissions.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commitment to strong, transparent governance is reflected in Mohawk's focus on ethical conduct, data privacy and security and operational integrity. This includes maintaining robust policies, educating team members on their ethical responsibilities, and implementing safeguards that reduce the risk of data breaches and cybersecurity threats. Oversight is provided by the Nominating &amp; Corporate Governance Committee and Audit Committee of the Company’s Board of Directors (the “Board”), which monitor program effectiveness and risk management.</w:t>
      </w:r>
    </w:p>
    <w:p>
      <w:pPr>
        <w:spacing w:after="0" w:line="19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Mohawk’s annual impact report sets forth the Company’s initiatives with respect to these pillars and details how the Company works to manage its operations efficiently, responsibly and ethically. The impact report includes information on Mohawk’s corporate stewardship policies and practices on a variety of matters, including, but not limited to, Board and management sustainability oversight, governance and ethics, environmental performance and employee health and safety management. Mohawk’s impact reports and related content can be found at www.mohawksustainability.com. This website does not constitute part of this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Ceramic</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Global Ceramic designs, markets, manufactures, distributes and sources a broad line of ceramic and porcelain tile collections for floors and walls, as well as porcelain slabs and natural stone and quartz countertops. Products are distributed through various channels, including home centers, Company-owned service centers and Company-owned and franchised stores, floor covering retailers, ceramic tile specialists, e-commerce retailers, residential builders, independent distributors, commercial contractors and commercial end users.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customers with one of the ceramic tile industry’s broadest product lines—a complete selection of glazed floor tile, glazed wall tile, mosaic tile, porcelain tile, quarry tile, porcelain landscaping pavers, exterior cladding, stone products, porcelain slabs, quartz countertops and installation products. In addition to products manufactured by the Company’s ceramic tile business, the Company also sources products from other manufacturers to enhance its offering to customers.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Global Ceramic markets its products under the American Olean, Daltile, Decortiles, Eliane, Elizabeth, EmilGroup, KAI, Kerama Marazzi, Marazzi, Ragno and Vitromex brand names. These brands are supported by a fully integrated marketing program, displays, merchandising boards, literature, catalogs and websites. Innovative design, quality and response to changes in customer preference enhance recognition in the marketplace. The Company is focused on sales growth opportunities through innovative products and programs in both the residential and commercial channels for both remodeling and new construction.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Global Ceramic utilizes various distribution methods including regional distribution centers, service centers, direct shipping and customer pick-up from Company facilities. The Segment’s sales forces are organized by product type and sales channels in order to best serve each type of customer. The Company believes its distribution methods for Global Ceramic provide high-quality customer service and enhance its ability to plan and manage inventory requirements.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NA</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Flooring NA designs, markets, manufactures, distributes and sources broadloom carpet, carpet tile, carpet pad, rugs, laminate, LVT, hybrid flooring, sheet vinyl and wood flooring in a broad range of colors, textures and patterns. Flooring NA positions product lines in all price ranges and emphasizes quality, style, performance and service. In addition to products manufactured by Flooring NA, the Company also sources products from other manufacturers to enhance its offering to customers.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Flooring NA markets and distributes its product lines to floor covering retailers, home centers, mass merchandisers, department stores, e-commerce retailers, shop at home, buying groups, independent distributors, residential builders, commercial contractors and commercial end users. Some products are also marketed through private labeling programs. Sales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customers focused on residential products represent a significant portion of the total industry and the majority of the Segment’s sales.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positioned its brand names across all price ranges. Foss, Karastan, Mohawk, Mohawk Home, Pergo, Portico and Quick-Step are positioned to sell in the residential flooring markets. Aladdin Commercial and Mohawk Group are positioned to sell in the commercial market, which is made up of corporate office space, educational facilities, institutional facilities, healthcare/assisted living facilities and retail space. The Company also sells into the commercial hospitality space (hotels, restaurants, gaming facilities, etc.) under its Durkan brand.</w:t>
      </w:r>
    </w:p>
    <w:p>
      <w:pPr>
        <w:spacing w:after="0" w:line="1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Segment’s sales forces are generally organized by sales channels to best serve each type of customer. Product delivery to independent dealers is facilitated predominantly on Mohawk trucks operating from a strategically positioned national network of warehouses and cross-docks that receive inbound product directly from the Company’s manufacturing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ROW</w:t>
      </w:r>
    </w:p>
    <w:p>
      <w:pPr>
        <w:spacing w:after="0" w:line="24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Flooring ROW designs, markets, manufactures, licenses, distributes and sources laminate, LVT, sheet vinyl, wood flooring, broadloom carpet and carpet tile. It also designs, manufactures, markets and distributes roofing panels, insulation boards, MDF, chipboards, decorative panels and mezzanine floors. Products are sold through separate distribution channels, consisting of flooring retailers, wholesalers, home centers, Company-operated distributors, independent distributors, residential builders, commercial contractors and commercial end users. The business is organized to address the specific customer needs of each distribution channel.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Flooring ROW markets and sells its flooring products under the Feltex, GH Commercial, Godfrey Hirst, Hycraft, IVC Home, Lentex Flooring, Leoline, Moduleo, Mohawk Group, Pergo, Quick-Step and Redbook brands. Flooring ROW also sells private label laminate, wood and vinyl flooring products. The Company believes Quick-Step and Pergo are leading brand names in the European flooring industry, and that Godfrey Hirst and Feltex are leading brand names in the Australasian flooring market. In addition, in Europe, Flooring ROW markets and sells insulation boards and roof panels under the Unilin Insulation brand and MDF, chipboards and high-pressure laminate (HPL) decorative panels under the Unilin Panels brand. The Segment also licenses its intellectual property to flooring manufacturers throughout the world.</w:t>
      </w: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uses regional distribution centers and direct shipping from manufacturing facilities to provide high-quality customer service and enhance the Company’s ability to plan and manage inventory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Promotion</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brands are among the best known and most widely distributed in the industry. The Company vigorously supports the value and name recognition of its brands through traditional advertising channels, including numerous trade publications and unique promotional events that highlight product design and performance, as well as social media initiatives and Internet-based advertising. The Company has invested significantly in websites that educate consumers about the Company’s products, helping them to make informed decisions about purchases, and that identify local retailers that offer the Company’s collections. The Company offers its customers the award-winning Omnify™, an internet platform that automatically syncs updated product and sales information between the Company and its United States aligned retailer websites, ensuring that consumers have access to the most accurate and timely information and creating a faster connection between the consumer and local retailers.</w:t>
      </w:r>
    </w:p>
    <w:p>
      <w:pPr>
        <w:spacing w:after="0" w:line="21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18"/>
          <w:szCs w:val="18"/>
          <w:color w:val="auto"/>
        </w:rPr>
        <w:t>In North America, the Company actively supports well known programs such as Susan G. Komen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(breast cancer research), Habitat for Humanity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(housing for low income families), Operation Finally Home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(housing for disabled veterans), water.org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(accessibility to clean, safe water), ArtLifting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(opportunities for artists with disabilities and financial instability) and PlasticBank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(recovering and recycling plastic waste from oceans), which include marketing partnerships that showcase the Company’s products and highlight its corporate values. The Company also sponsors a European cycling team to promote its Quick-Step brand through logo placements and use of the team in its advertising and point-of-sale displays.</w:t>
      </w:r>
    </w:p>
    <w:p>
      <w:pPr>
        <w:spacing w:after="0" w:line="2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introduces new products, merchandising and marketing campaigns through participation in regional, national and international trade shows as well as at exclusive dealer conventions. The Company supports sales with its retail customers through cooperative advertising programs that extend the reach of the Company’s promotion as well as with innovative merchandising displays that highlight the Company’s differentiated products and provide samples to consumers. The cost of providing merchandising displays, product samples and point of sale promotional marketing, is partially recovered by the purchase of these items by the Company’s customers.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Ceramic</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ceramic tile manufacturing operations are vertically integrated from the production of raw material for body and glaze preparation to the manufacturing and distribution of ceramic and porcelain tile, porcelain slabs and quartz countertops. The Company believes that its manufacturing organization’s leading-edge technology offers competitive advantages due to its ability to create a differentiated product line consisting of one of the industry’s broadest offerings of sizes, shapes, colors, textures and finishes, as well as the industry’s largest offering of trim and decorative pieces. In addition, Global Ceramic also sources a portion of its collections to enhance its product offerings. Global Ceramic continues to invest in equipment that uses the latest technologies, which supports the Company’s efforts to increase manufacturing capacity, improve efficiency, meet the growing demand for its innovative products and develop new capabilities.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NA</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carpet manufacturing operations are vertically integrated and include the extrusion of triexta, nylon, polyester and polypropylene resins, as well as recycled post-consumer plastics, into fiber. Flooring NA is also vertically integrated in yarn processing, carpet backing manufacturing, tufting, weaving, dyeing, coating and finishing.</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Segment is also vertically integrated with significant manufacturing assets that produce laminate flooring, MDF board, fiberglass sheet vinyl and LVT. Flooring NA continues to invest in capital expenditures, such as the expansion of the Company’s North American LVT and premium laminate manufacturing capacity. Other investments in state-of-the-art equipment support market growth, increase manufacturing efficiency and improve overall cost competitiveness.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ROW</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laminate flooring manufacturing operations in Europe are vertically integrated. The Company believes Flooring ROW has advanced equipment that results in competitive manufacturing in terms of cost and flexibility. In addition, Flooring ROW has significant manufacturing capability for wood flooring, LVT and sheet vinyl.</w:t>
      </w:r>
    </w:p>
    <w:p>
      <w:pPr>
        <w:spacing w:after="0" w:line="18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Flooring ROW continues to invest in capital expenditures such as LVT, utilizing the latest advances in technologies to enhance its product offering, improve efficiency and develop new capabilities including state-of-the-art, fully integrated production that will leverage the Company’s proven record of bringing innovative and high-quality products to its markets. The manufacturing facilities for roofing panels, insulation boards, MDF, chipboards and HPL decorative panels in Flooring ROW are all configured for cost-efficient manufacturing and production flexibility and are competitive in the European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Inputs and Suppliers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Ceramic</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raw materials used in the production of ceramic tile are clay, talc, feldspar, industrial minerals and glazes. The Company has long-term clay mining rights in Brazil, Bulgaria, North America and Russia that satisfy a portion of its clay requirements for producing tile. The Company also purchases a number of different grades of clay for the manufacture of its tile. Glazes are used on a significant percentage of manufactured tiles. Glazes consist of frit (ground glass), zircon, stains and other materials, with frit being the largest component. The Company manufactures a significant amount of its frit requirements. The Company believes that there is an adequate supply of all grades of clay, talc and industrial minerals that are readily available from a number of independent sources. If these suppliers were unable to satisfy the Company’s requirements, the Company believes that alternative supply arrangements would be available.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NA</w:t>
      </w:r>
    </w:p>
    <w:p>
      <w:pPr>
        <w:spacing w:after="0" w:line="25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The principal raw materials used in the production of carpet are polyester, triexta, nylon, polypropylene, caprolactam, recycled post-consumer plastics, synthetic backing materials, latex and various dyes and chemicals, the majority of which are petroleum-based. The Company uses recycled and</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reclaimed wood, paper and resins in its production of laminate flooring products. In its resilient flooring operations, the Company uses glass fiber, plasticizers and polyvinyl chloride (PVC) resins. Major raw materials used in the Company’s manufacturing process are available from independent sources, and the Company obtains most of its raw materials from major suppliers that provide inputs to each major product category. If these suppliers were unable to satisfy the requirements, the Company believes that alternative supply arrangements would be available. The market for raw materials is sensitive to temporary disruptions.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ROW</w:t>
      </w:r>
    </w:p>
    <w:p>
      <w:pPr>
        <w:spacing w:after="0" w:line="24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principal raw materials used in the production of laminate flooring and boards are recycled and reclaimed wood, paper and resins. The wood suppliers provide a variety of wood species, providing the Company with a cost-effective and secure supply of raw material. In its resilient flooring operations, the Company uses glass fiber, plasticizers and PVC resins. The principal raw materials used in the production of broadloom carpet and carpet tile are wool, polyester, triexta, nylon, polypropylene, caprolactam, recycled post-consumer plastics, synthetic backing materials, latex and various dyes and chemicals, the majority of which are petroleum-based. Major raw materials used in the Company’s manufacturing process are available from independent sources, and the Company has long-standing relationships with a number of suppliers. The principal raw materials used in the production of insulation panels are polyisocyanurate foam and foil-faced film. If these suppliers were unable to satisfy the requirements, the Company believes that alternative supply arrangements would be available. The market for raw materials is sensitive to temporary disruptions.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the largest flooring manufacturer in a fragmented industry composed of a wide variety of companies ranging from small, privately-held firms to large multinationals. In 2024, the United States floor covering industry reported $33.2 billion in sales, down approximately 2.6% over sales of $34.1 billion in 2023. In 2024, the primary categories of flooring in the United States, based on sales, were carpet and rugs (33.8%), resilient consisting of LVT, sheet vinyl and various other resilient categories (32.2%), ceramic tile (12.6%), wood (12.5%), stone (5.9%) and laminate (3.0%). In 2024, the primary categories of flooring in the United States, based on square feet sold, were resilient consisting of LVT, sheet vinyl and various other resilient categories (40.1%), carpet and rugs (39.0%), ceramic tile (11.4%), wood (5.2%), laminate (3.0%) and stone (1.3%). Each of these categories is influenced by the residential and commercial construction and residential and commercial remodeling end-use markets. These markets are influenced by many factors including changing consumer preferences, consumer confidence, spending for durable goods, interest rates, inflation, availability of credit, turnover in housing and the overall strength of the economy.</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principal methods of competition within the floor covering industry generally are product innovation, style, quality, price, performance technology and service. In each of the markets, price and market coverage are particularly important when competing among product lines. The Company actively seeks to differentiate its products in the marketplace by introducing innovative products with premium features that provide a superior value proposition. The Company’s investments in manufacturing technology, computer systems and distribution networks, as well as the Company’s marketing strategies and resources, contribute to its ability to compete on the basis of performance, quality, style and service, rather than price.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Ceramic</w:t>
      </w:r>
    </w:p>
    <w:p>
      <w:pPr>
        <w:spacing w:after="0" w:line="24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Globally, the ceramic tile industry is significantly fragmented, though the Company believes it is the world’s largest manufacturer, distributor and marketer of ceramic tile. The Company also believes it is the largest manufacturer, distributor and marketer of ceramic tile in specific markets, including Europe, Russia and the United States, as well as maintaining leading positions in the Brazilian and Mexican markets. The Company has leveraged the advantages of its scale, product innovation and unique designs in these markets to solidify its leadership position, however the Company continues to face pressures in these markets from imported ceramic products as well as alternate flooring categories. Certain regions around the world have established sufficient capacity to allow them to meet domestic needs in addition to exporting product to other markets where their cost, design and/or technical advantages may drive consumer preferences. Some mature markets have seen industry consolidation driven by mergers and acquisitions; however, most markets are comprised of many relatively small manufacturers all working with similar technologies, raw materials and designs. During 2024, industry publications estimated global capacity for ceramic tile at 161 billion square feet, down 6.2% from the prior year primarily due to inflation, increased energy costs, higher interest rates and the resulting slowing demand for flooring that began in the second half of 2022, with selling prices varying widely based on many factors, including supply within the market, materials used, size, shape and design. While the Company operates ceramic manufacturing facilities in eight countries, the Company has leveraged advantages in technology, design, brand recognition and marketing to extend exports of its products to approximately 160 countries. As a result of this global sales strategy, the Company faces competition in the ceramic tile market from a large number of foreign and domestic manufacturers, all of which compete for sales of ceramic tile to customers through multiple residential and commercial channels.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NA</w:t>
      </w:r>
    </w:p>
    <w:p>
      <w:pPr>
        <w:spacing w:after="0" w:line="2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North American flooring industry is highly competitive, with an increasing variety of product categories, shifting consumer preferences, supply chain disruptions and pressures from imported products, particularly in the rug and hard surface categories. Based on industry publications, in 2024, the United States flooring industry had carpet and rug sales of</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1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approximately $11.2 billion out of the overall $33.2 billion market. Based on its 2024 net sales, the Company believes it is the largest supplier of rugs and mats in the United States and the second largest producer of carpet in the world. The Company differentiates its carpet collections in the marketplace through proprietary fiber systems, state-of-the-art manufacturing technologies and unique styling as well as leveraging the strength of some of the best-known brands in the industry. The Company also believes it is the largest manufacturer and distributor of laminate flooring in the United States. The Company’s leading position in laminate flooring is driven by the strength of its premium brands as well as technical innovations such as water resistance, realistic visuals, beveled edges, deeply embossed-in-register surfaces and patented installation technologies. The United States resilient industry is highly competitive, and according to industry publications, grew more than 4.8% in 2024. Based on industry publications, in 2024, LVT, sheet vinyl and other various resilient categories generated sales of $10.7 billion out of the $33.2 billion total United States flooring market. The Company believes that it is one of the largest manufacturers and distributors of LVT and sheet vinyl in the United States. The Company’s sheet vinyl operations produce fiberglass backed products, which have proven more popular with consumers in the past several years due to superior performance and durability. The Company has expanded its resilient product portfolio to include hybrid flooring options, such as a renewable polymer core (RPC) category and a stone polymer core (SPC) category made with recycled plastic bottles, both of which are a PVC-free alternatives to traditional resilient products while maintaining waterproof capabilities and exceeding the scratch resistance of traditional LVT.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ROW</w:t>
      </w:r>
    </w:p>
    <w:p>
      <w:pPr>
        <w:spacing w:after="0" w:line="24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Company faces competition in the non-U.S. laminate, wood, LVT and sheet vinyl flooring business from a large number of domestic manufacturers as well as pressures from imports. The Company believes it is one of the largest manufacturers and distributors of laminate flooring in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world, with a focus on premium products, which the Company supplies under some of the best-known and most widely marketed brands in its regions. In addition, the Company believes it has a competitive advantage in its laminate flooring markets as a result of the Company’s industry-leading water resistance, realistic visuals and embossed-in-register surfaces as well as patented installation technologies, all of which allow the Company to differentiate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its products in the areas of design, performance, installation and assembly. The Company faces competition in the non-U.S. vinyl flooring channel from a large number of domestic and foreign manufacturers, but believes it has a competitive advantage in its LVT and sheet vinyl markets due to industry-leading design, patented technologies, brand recognition and vertical integration. The Company has elevated the performance of its sheet vinyl collections and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now aggressively placing the product in commercial applications. The Company also extended its sheet vinyl business into Eastern Europe with the acquisition of Polish-based Lentex Flooring. After initially extending its geographic footprint by acquiring national hard surface distributors in Australia and New Zealand, the Company acquired Godfrey Hirst, making the Company the largest manufacturer of carpet in both countries. The Company has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integrated its Oceania-based soft and hard surface businesses to provide a comprehensive offering to residential and commercial customers in the region. In Australia and New Zealand, the Company faces competition from a large number of domestic and foreign manufacturers, but believes it has a competitive advantage in its carpet and hard surface offering due to industry-leading design, patented technologies, brand recognition and vertical integration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manufacturing and distribution. Through the acquisitions of Xtratherm and of Ballytherm, the Company has extended its insulation business to the United Kingdom and Ireland while expanding sales in its core Benelux Region. The Company also increased its European wood panels business by acquiring German-based Berghoef and Otto Schneider (mezzanine flooring) and French-based Panneaux De Corrèze (MDF).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Intellectual property is important to the Company’s business and the Company relies on a combination of patent, copyright, trademark and trade secret laws to protect its interests. The Company holds a substantial portfolio of over 3,800 patents spanning 500 families.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uses several trademarks that it considers important in the marketing of its products, including American Olean, Daltile, Decortiles, Durkan, Eliane, Elizabeth, EmilGroup, Feltex, Foss, Godfrey Hirst, IVC Home, Karastan, Kerama Marazzi, Lentex Flooring, Leoline, Marazzi, Moduleo, Mohawk, Mohawk Group, Mohawk Home, Pergo, Quick-Step and Unilin. These trademarks reflect innovations in design, performance and installation, which represent competitive advantages and provide differentiation from competing brands in the market.</w:t>
      </w:r>
    </w:p>
    <w:p>
      <w:pPr>
        <w:spacing w:after="0" w:line="2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Flooring ROW owns a number of patent families in Europe and the United States, some of which the Company licenses to manufacturers throughout the world. The Company continues to explore additional opportunities to generate revenue from its patent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2025, no single customer accounted for more than 10% of the Company’s total net sales, and the top 10 customers accounted for less than 20% of the Company’s total net sales. The Company believes the loss of one major customer would not have a material adverse effect on its business.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Company’s management team recognizes the importance of its employees to the Company’s overall long-term success. The Company prioritizes its employees by focusing on a number of human capital objectives, including recruitment, development, engagement and retention, as well as safety, health and well-being.</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Company’s talent development initiatives center on the education, exposure and experience of its employees, and the Company’s commitment to sustaining a workforce that mirrors the communities in which it operates. The Company prioritizes the development of early-in-career talent to build and expand future generations of leadership. The Company is also dedicated to building community partnerships and leveraging its employer brand to yield a broad-based applicant pool that attracts all of the community’s best candidates for career opportunities. The Company remains committed to promoting fair, equitable and respectful workplaces where all people have equal opportunities to grow and advance.</w:t>
      </w:r>
    </w:p>
    <w:p>
      <w:pPr>
        <w:spacing w:after="0" w:line="184"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The Company is dedicated to creating a working environment that is free from hazards, promotes employee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being and prioritizes safety at every level. The Company fosters a collaborative partnership with its employees to uphold safe and secure workplaces across the globe. Each of the Company’s business segments prioritizes enhancement of safety measures within their respective facilities, with a heightened focus on equipment maintenance, machine guards and peer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peer feedback. By consolidating safety data from all business segments, the Company calculates its corporate recordable incident rate, which serves as a key indicator of its overall safety performance.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employed approximately 40,500 people, consisting of approximately 15,600 in the United States, approximately 13,600 in Europe and approximately 11,300 in other countries. The majority of the Company’s European manufacturing employees are members of unions. The Company has not experienced any major strikes or work stoppages in recent years and believes that its relations with its employees are good.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global manufacturing company, the Company’s operations are subject to numerous U.S. and foreign laws and regulations pertaining to, without limitation, tariffs, trade sanctions, import-export controls, tax, consumer protection, government contracts, anti-corruption, antitrust, corporate governance and employment. The Company is also subject to increasingly complex and changing laws and regulations governing the protection of personal and business data in the U.S., European Union and other jurisdictions, including those related to the collection, storage, use, transmission and safeguarding of personal information and other consumer, customer, vendor or employee data. In addition, due to the global scope of the Company’s manufacturing facilities and operations, the Company is subject to extensive environmental regulations in jurisdictions throughout the world. Such laws and regulations govern, among other things, air emissions; the treatment and discharge of wastewater; the handling, storage, use and disposal of solid, hazardous and other wastes; and worker health and safety. Furthermore, numerous Company products are regulated under specific legal frameworks, including extended producer responsibility statutes and packaging and labeling regulations. The Company has implemented policies and procedures designed to ensure compliance with all applicable laws and regulations. The costs incurred to comply with applicable laws and regulations, including environmental regulations, did not have a material effect on capital expenditures, earnings, or the Company’s competitive position for the year ended December 31, 2025, and the Company does not currently anticipate that compliance with existing laws and regulations will have a material adverse impact on its capital expenditures, earnings, or competitive position in any given year. However, future developments, such as changes in laws, regulations, or government policies, could result in significant costs that may materially affect the Company’s business, financial condition, results of operations, and prospects. For a discussion of the risks associated with certain applicable laws and regulations, see Risk Factors in Part I, Item 1A of this Form 10-K.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Internet address is https://www.mohawkind.com. The Company makes available the following reports it files on its website, free of charge, under the heading “Investors”:</w:t>
      </w:r>
    </w:p>
    <w:p>
      <w:pPr>
        <w:spacing w:after="0" w:line="18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foregoing reports.</w:t>
      </w:r>
    </w:p>
    <w:p>
      <w:pPr>
        <w:spacing w:after="0" w:line="23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reports are made available on the Company’s website as soon as practicable after they are filed with, or furnished to the Securities and Exchange Commission (“SEC”). In addition to the Company’s website, the SEC maintains an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Internet site that contains the Company’s reports, proxy and information statements, and other information that the Company electronically files with, or furnishes to, the SEC.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provided in this Form 10-K, the following risk factors should be considered when evaluating an investment in shares of the Company’s Common Stock. If any of the events described in these risks were to occur, it could have a material adverse effect on the Company’s business, financial condition, results of operations, and prospects.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 and Economic Risks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floor covering industry is sensitive to changes in general economic conditions, such as consumer confidence, income and spending, corporate and government spending, interest rate levels, availability of credit and demand for housing. Significant or prolonged declines in the U.S. or global economies could have a material adverse effect on the Company’s business.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derives a majority of its sales from residential and commercial construction and remodeling. During times of economic uncertainty or downturns, end consumers tend to reduce spending on home remodeling. Likewise, new home construction and the corresponding need for new flooring materials tends to slow during recessionary periods. In addition, the combination of high interest rates and inflation has negatively impacted mortgage affordability and increased the cost of home improvement projects, adversely affecting demand for the Company’s products. Cyclical economic downturns have caused, and could continue to cause, the industry to soften globally or in the local markets in which the Company operates. The Company cannot predict whether, when or to what degree elevated interest rates or inflation will further stabilize or decrease, and what effect such changes might have on repair and remodeling activities, new construction or product demand. A significant or prolonged decline in residential or commercial remodeling or new construction activity could have a material adverse effect on the Company’s business, financial condition, results of operations, and prospects.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intense competition in the flooring industry that could decrease demand for the Company’s products or force it to lower prices.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floor covering industry is highly competitive. The Company faces competition from a number of manufacturers and independent distributors. The Company may also encounter competition from competitors introducing new products or technologies that better meet customers’ needs, whether through pricing, sustainability, quality, versatility or other characteristics. In addition, some of the Company’s competitors are located outside of the major markets in which the Company participates, and these competitors may benefit from lower input costs or state subsidies which allow them to sell their products for less than fair value. Price competition or overcapacity may limit the Company’s ability to raise prices for its products, may force the Company to reduce prices and may also result in reduced levels of demand for the Company’s products and cause the Company to lose market share. Competitors may also engage in unfair trade practices such as dumping or market distortion through customs duties evasion. Moreover, fluctuations in currency exchange rates and input costs may contribute to more attractive pricing for imports that compete with the Company’s products, which may put pressure on the Company’s pricing.</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maintain the Company’s competitive position, the Company must continue to develop new products that meet changing consumer preferences and successfully market and commercialize its innovation, which may require substantial investments in the Company’s product development efforts, manufacturing facilities, distribution network and sales and marketing activities. Any of these factors could have a material adverse effect on the Company’s business, financial condition, results of operations, and prospects.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tariffs may increase the Company’s costs of goods sold and/or decrease consumer discretionary spending.</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Current U.S. tariff policies have impacted certain of the Company’s sourcing and supply chain processes occurring outside the U.S. as well as certain vendors, suppliers, and customers located outside the U.S. Tariffs have increased, and may continue to increase, the Company’s cost of goods sold on imported products, which has resulted, and could in the future result in, lower gross margins on certain products. Raising prices to account for any such increase in costs of goods may negatively impact the competitiveness, and in turn market share, of the Company’s products. Alternatively, the Company, as a U.S.-based manufacturer, might not achieve the anticipated benefits from the tariffs, such as increased sales of products manufactured domestically. Furthermore, a broad-based increase in prices across the economy could further constrain consumer discretionary spending, which in turn could decrease demand for the Company’s products. The duration, magnitude and scope of any additional tariffs, trade restrictions, retaliatory or other measures are difficult to predict, including any related impacts to</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1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consumer demand, along with the extent (if any) to which the Company will be able to offset the impacts of such actions through mitigation efforts. These tariff actions, retaliatory measures, or other trade restrictions, could materially and adversely impact the Company’s business, financial condition, results of operations, and prospects.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International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manufactures, sources and sells many products internationally and is exposed to risks associated with doing business globally.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international activities are significant to its manufacturing capacity, revenues and profits. The Company generates approximately 46% of its annual sales in countries outside of the U.S., and the Company continues to expand internationally through acquisitions, construction of new manufacturing operations and investments in existing ones. Currently, Flooring ROW has significant operations in Australia, Brazil, Europe, Malaysia, New Zealand and Russia, Global Ceramic has significant operations in Brazil, Europe, Mexico and Russia, and Flooring NA maintains LVT and carpet pad manufacturing operations in Mexico. The Company also sources raw materials and finished goods from multiple international locations.</w:t>
      </w:r>
    </w:p>
    <w:p>
      <w:pPr>
        <w:spacing w:after="0" w:line="210"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Company’s international sales, supply chain, operations and investments have been, and may in the future be, impacted by risks and uncertainties, including:</w:t>
      </w:r>
    </w:p>
    <w:p>
      <w:pPr>
        <w:spacing w:after="0" w:line="21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foreign country regulatory requirements;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differing business practices associated with foreign operations;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various import/export restrictions and the availability of required import/export licenses;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foreign currency exchange rate fluctuations;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differing inflationary or deflationary market pressures;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foreign country tax rules, regulations and other requirements, such as changes in tax rates and statutory and judicial interpretations in tax laws;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differing labor laws and changes in those laws;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work stoppages and labor shortages;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in the shipping of imported and exported products;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price controls;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extended payment terms and the inability to collect accounts receivable;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difficulties repatriating cash from non-U.S. subsidiaries;</w:t>
      </w:r>
    </w:p>
    <w:p>
      <w:pPr>
        <w:spacing w:after="0" w:line="22" w:lineRule="exact"/>
        <w:rPr>
          <w:rFonts w:ascii="Arial" w:cs="Arial" w:eastAsia="Arial" w:hAnsi="Arial"/>
          <w:sz w:val="22"/>
          <w:szCs w:val="22"/>
          <w:color w:val="auto"/>
        </w:rPr>
      </w:pPr>
    </w:p>
    <w:p>
      <w:pPr>
        <w:ind w:left="660" w:hanging="328"/>
        <w:spacing w:after="0" w:line="242"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compliance with laws governing international relations and trade, including those U.S. and European Union laws that relate to sanctions and corruption; and</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supply chain disruption or price escalations for oil, natural gas and other raw materials due to regional conflict.</w:t>
      </w:r>
    </w:p>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cannot assure investors that it will succeed in developing and implementing policies and strategies to address the foregoing risks effectively in each location where the Company does business, and therefore that the foregoing factors will not have a material adverse effect on the Company’s business, financial condition, results of operations, and prospects.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risks and uncertainties associated with doing business in emerging markets.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in emerging markets such as Brazil, eastern Europe, Malaysia, Mexico and Russia and is exposed to certain risks of doing business in potentially unstable regions. Compared to developed markets, these regions often present heightened operational, legal, economic and political risks. Market conditions and supporting political structures can change rapidly, and the Company may not be able to react quickly enough to protect its assets and business operations. In particular, developing markets in which the Company operates may be characterized by one or more of the following:</w:t>
      </w:r>
    </w:p>
    <w:p>
      <w:pPr>
        <w:spacing w:after="0" w:line="20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conflicting laws and regulations, which may be inconsistently or arbitrarily enforced;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incidences of corruption in state regulatory agencies;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volatility and restrictions on foreign exchange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controls or limitations on repatriation of profits;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inflation;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sanctions or export control risks related to U.S., EU and other regulatory regimes;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immature legal and banking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with respect to title to real and personal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intellectual property protection and enforcement;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underdeveloped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state control of natural resources and energy supplies;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ownership of transportation and supply chain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protective tariffs and inefficient customs processes;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crime rates;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and/or armed conflict.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Changes in any one or a combination of these factors could have a material adverse effect on the Company’s business, financial condition, results of operations, and prospects. Given the volatility in the current global economic climate and geopolitical events around the world, including the Russian military actions in Ukraine and ongoing conflicts in the Middle East and elsewhere, it is difficult for the Company to predict the complete impact of the foregoing matters on its business, financial condition, results of operations, and prospects.</w:t>
      </w:r>
    </w:p>
    <w:p>
      <w:pPr>
        <w:spacing w:after="0" w:line="2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may impact the Company’s financial condition and results of operations and may affect the comparability of results between the Company’s financial periods.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exposed to currency exchange rate fluctuations. International sales have represented a significant percentage of the Company’s total sales, with approximately 46% of annual sales generated by international operations. The Company also maintains manufacturing facilities in 18 countries outside the U.S. The Company expects that a significant amount of its future sales will continue to come from outside the U.S. The Company is also exposed to currency exchange rate fluctuations through its purchase of raw materials, component parts and sourced goods from suppliers in multiple countries. The Company experiences currency-related gains and losses where sales or purchases are denominated in currencies other than the functional currency. In addition, the results of the Company’s foreign subsidiaries are translated into U.S. dollars from the local currency for consolidated reporting. The Company may not be able to manage its currency translation risks effectively, and volatility in currency exchange rates may have a material adverse effect on the Company’s consolidated financial statements and affect comparability of the Company’s results between financial periods.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risks and uncertainties related to its operations in Russia.</w:t>
      </w:r>
    </w:p>
    <w:p>
      <w:pPr>
        <w:spacing w:after="0" w:line="24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Company maintains operations in Russia through its Global Ceramic and Flooring ROW reporting segments. The Company continues to face legal, regulatory, financial, operational and reputational risks due to its Russian operations. Specifically, U.S. and European Union sanctions and export controls restrict certain financial transactions and limit the transfer of certain technology, equipment and goods classified as “dual use.” Such export controls create complexity in the Company’s supply chain and the sourcing of certain materials and equipment required to continue operations, and violations of such sanctions and export controls could result in severe penalties, fines and reputational harm. In addition, certain Russian laws, such as those related to economic sanctions and data privacy, may conflict with U.S. and European Union regulations. Failure to comply with these varying laws could lead to penalties, fines and reputational harm, and increased compliance and diligence costs resulting from these risks could materially adversely affect the Company’s business. As of December 31, 2025, the Company’s Russian operations accounted for 5% of the Company’s net sales and approximately 7% of the Company’s total assets. Additionally, the Company’s Russian operations are subject to capital controls and currency volatility, both of which have impacted, and may continue to impact, profitability and ability to repatriate cash. Further, sanctions and related banking restrictions have limited, and may continue to limit, the Company’s ability to process payments or repatriate profits from Russia. As of December 31, 2025, 30% of the Company’s cash and cash equivalents are held in Russia, and generated interest income of approximately $30 million in 2025. In addition, the Company continues to face operational risks specific to Russia. As a result of the ongoing military actions between Russia and Ukraine, the Company has experienced and may continue to experience supply chain disruption and price increases of raw materials and spare parts needed in the Company’s Russian operations. The Company’s Russian operations are also subject to potential asset seizure, nationalization, expropriation or forced divestiture under Russian government policies. The Company continues to monitor the potential impacts on its business and the ancillary impacts that the conflict may have on its other global operations. While the extent of the conflict’s impact on the Company cannot be predicted, any of the foregoing factors could materially and adversely impact the Company’s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Operational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to predict changing consumer preferences and demand effectively.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operates in a market sector where demand is strongly influenced by rapidly changing consumer preferences. Shifts in consumer trends can occur rapidly due to evolving market conditions, technological innovation, competitive offerings, or macroeconomic factors. The Company may be unable to accurately anticipate changes in consumer preferences as to product design, product category and technical features, as well as changes in purchasing behavior and overall demand for its products and services. Failure to predict these changes or respond effectively could result in a material adverse effect on the Company’s business, financial condition, results of operations, and prospects.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periods of rising costs, the Company may be unable to pass increases in raw materials, labor, energy and fuel-related costs on to its customers.</w:t>
      </w:r>
    </w:p>
    <w:p>
      <w:pPr>
        <w:spacing w:after="0" w:line="2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supply and prices of raw materials, labor, energy and fuel-related costs, including those related to oil and natural gas, are subject to market conditions and are impacted by many factors beyond the Company’s control, including geopolitical conflict, pandemics, labor shortages, weather conditions, natural disasters, governmental programs, regulations and trade and tariff policies, inflation and increased demand, among other factors. Although the Company generally attempts to pass on increases in raw material, labor, energy and fuel-related costs to its customers, the Company’s ability to do so is dependent upon the rate and magnitude of any increase, competitive pressures and market conditions for the Company’s products. There have been in the past, and may be in the future, periods of time during which increases in these costs cannot be recovered. During such periods of time, the Company’s business, financial condition, results of operations, and prospects have been and may be materially affected.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to obtain raw materials or sourced product on a timely basis.</w:t>
      </w:r>
    </w:p>
    <w:p>
      <w:pPr>
        <w:spacing w:after="0" w:line="24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principal raw materials used in the Company’s manufacturing operations include triexta, nylon, polypropylene, and polyester resins and fibers, which are used in the Company’s carpet business; clay, talc, feldspar and glazes, including frit (ground glass), zircon and stains, which are used in the Company’s ceramic tile business; wood, paper and resins, which are used in the Company’s wood and laminate flooring businesses and panels business; and glass fiber, plasticizers, and PVC resins, which are used in the Company’s sheet vinyl and luxury vinyl tile businesses. In addition to raw materials, the Company sources some finished goods. For certain raw materials and sourced products, the Company is dependent on one or a small number of suppliers. A material temporary or long-term adverse change in the Company’s relationship with such a supplier, the financial condition of such a supplier or such a supplier’s ability to manufacture or deliver such raw materials or sourced products to the Company could lead to an interruption of supply or require the Company to purchase more expensive alternatives. Also, the Company’s ability to obtain raw materials or source products at reasonable costs may be impacted by tariffs, global trade uncertainties and ongoing geopolitical conflict. An extended interruption in the supply of sourced products or raw materials used in the Company’s business or in the supply of suitable substitute materials or products could disrupt the Company’s operations, which could have a material adverse effect on the Company’s business, financial condition, results of operations, and prospects.</w:t>
      </w:r>
    </w:p>
    <w:p>
      <w:pPr>
        <w:spacing w:after="0" w:line="2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operations could suffer significant losses from climate change, natural disasters, catastrophes, fire, pandemics or other unexpected events.</w:t>
      </w:r>
    </w:p>
    <w:p>
      <w:pPr>
        <w:spacing w:after="0" w:line="1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Many of the Company’s business activities involve substantial investments in manufacturing facilities and many products are produced at a limited number of locations. These facilities could be materially damaged by natural disasters, such as floods, tornados, hurricanes and earthquakes, or by fire, pandemics or other unexpected events. Specifically, altered weather conditions associated with climate change may impact the Company’s ability to operate certain manufacturing facilities and could also limit general residential or commercial construction activity, which in turn could adversely impact consumer demand for the Company’s products. The Company could incur uninsured losses and liabilities arising from such events, including damage to its reputation, and/or suffer material losses in operational capacity, which could have a material adverse impact on its business, financial condition, results of operations, and prospects.</w:t>
      </w: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makes significant capital investments in its business, and such capital investments may not be successful or achieve their intended results.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business requires significant capital investment to expand capacity to support its growth, introduce new products, enter new markets and improve operating efficiencies. The Company has historically made significant capital investments each year and will continue to make capital investments in future periods, including approximately $480 million of capital investments in 2026. While the Company believes that many of its past capital investments have been successful, there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is no guarantee that the return on investment from the Company’s recent or future capital expenditures will be sufficient to recover the expenses and opportunity costs associated with these projects. Furthermore, a meaningful portion of the Company’s capital investment is based on forecasted growth in its business, which is subject to uncertainty such as general economic trends, increased competition and consumer preferences. If the Company does not accurately forecast its future capital investment needs, the Company could have excess capacity or insufficient capacity, either of which would negatively affect business, financial condition, results of operations, and prospects.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long-term performance of the Company’s business relies on its ability to attract, develop and retain talented personnel.</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ability to attract, develop and retain qualified and talented personnel in management, sales, marketing, product design and operations, including in new international markets into which the Company may enter, is key to the Company’s overall success. The Company competes with multinational firms for these employees and invests resources in recruiting, developing, motivating and retaining them. The failure to attract, develop, motivate and retain key employees could negatively affect the Company’s competitive position and its business, financial condition, results of operations, and prospects.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to maintain its patent licensing revenues.</w:t>
      </w:r>
    </w:p>
    <w:p>
      <w:pPr>
        <w:spacing w:after="0" w:line="24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profit margins of certain of the Company’s businesses, particularly Flooring ROW, depend in part upon the Company’s ability to obtain, maintain and license proprietary technology used in the Company’s principal product families. To protect and monetize these innovations, the Company has filed and continues to file patents covering a wide range of product features and associated manufacturing methods. These patents not only safeguard the Company’s competitive position but also generate recurring patent license revenues. However, patents have a finite validity period, so the current revenue-producing patents will expire over time. The failure to continue to develop and secure alternative patents and revenues to replace expired or invalidated patents in the future could have a material adverse effect on the Company’s business, financial condition, results of operations, and prospects.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experience certain risks associated with acquisitions, joint ventures and strategic investments.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historically grown its business through a combination of organic growth and acquisitions. Growth through acquisitions involves risks, including challenges in identifying suitable opportunities, negotiating favorable terms, and completing transactions on a timely basis. Even once an acquisition is successfully executed, the Company may encounter difficulties integrating an acquired business, including realizing anticipated synergies or cost savings. The Company cannot give assurance that an acquired company will achieve the levels of revenue, profitability and production that the Company expects. Acquisitions may require the issuance of additional securities or the incurrence of additional indebtedness, which may dilute the ownership interests of existing security holders or impose higher interest costs on the Company. In addition, economic conditions may fluctuate in the various regions and markets where newly acquired companies operate, which may present foreign exchange and operational risks to the Company. Additional challenges related to the Company’s acquisition strategy include:</w:t>
      </w:r>
    </w:p>
    <w:p>
      <w:pPr>
        <w:spacing w:after="0" w:line="21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operational processes;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selling different types of products through different distribution channels;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from various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executive offices in different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complex reporting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different operating systems and software on different computer hardware;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personnel.</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Failure to successfully manage and integrate an acquisition with the Company’s existing operations could lead to the potential loss of customers of the acquired business, the potential loss of employees who may be vital to the new operations, the potential loss of business opportunities or other adverse consequences that could have a material adverse effect on the Company’s business. Even if integration occurs successfully, failure of the acquisition to achieve levels of anticipated sales growth, profitability, or otherwise perform as expected, may result in goodwill or other asset impairments or otherwise have a material adverse effect on the Company’s business. Finally, acquisition targets may be subject to material liabilities that are not properly identified in due diligence and that are not covered by seller indemnification obligation or third-party insurance. The unknown liabilities of the Company’s acquisition targets may have a material adverse effect on the Company’s business, financial condition, results of operations, and prospects.</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has made certain investments, including through joint ventures, in which the Company has a minority equity interest and lacks management and operational control. The controlling joint venture partner may have business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interests, strategies or goals that are inconsistent with those of the Company. Business decisions or other actions or omissions of the controlling joint venture partner, or the joint venture company, may result in harm to the Company’s reputation or adversely affect the value of the Company’s investment in the joint venture.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risks in identifying suitable acquisition candidates or partners for strategic investments.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the Company’s business strategy, the Company intends to pursue a wide array of potential strategic transactions, including acquisitions of complementary businesses, as well as strategic investments and joint ventures. Although the Company regularly evaluates such opportunities, the Company may not be able to successfully identify suitable acquisition candidates, to secure certain required governmental approvals necessary to consummate such strategic transactions or to obtain sufficient financing on acceptable terms to fund such strategic transactions, which may slow the Company’s growth and have a material adverse effect on the Company’s business, financial condition, results of operations,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and Legal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has been, and in the future may be, subject to costs, liabilities and other obligations under existing or new laws and regulations.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increasingly numerous and complex laws, regulations and licensing requirements in each of the jurisdictions in which the Company conducts business. In addition, new laws and regulations may be enacted in the U.S. or abroad, the compliance with which may require the Company to incur additional personnel-related, environmental, or other compliance-related costs on an ongoing basis.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particular, the Company’s operations are subject to various environmental, social, and health and safety laws and regulations. For example, certain aspects of the Company’s operations and supply chain have become, and are expected to become, increasingly subject to federal, state, local and international laws, regulations and international treaties and industry standards related to climate change. Many governing bodies have introduced additional due diligence and disclosure requirements addressing sustainability that the Company expects will apply to its operations and supply chain in the coming years, such as California’s Climate Corporate Data Accountability Act and Climate Related Financial Risk Disclosure, and the European Union’s Corporate Sustainability Reporting Directive (“CSRD”) and Corporate Sustainability Due Diligence Directive (“CSDDD”). Although certain sustainability-related regulations and reporting obligations have been relaxed in some jurisdictions through legislation or by court order, sustained emphasis by the U.S., European Union and other governmental authorities on climate change and other environmental matters continues to create uncertainty. Numerous overlapping and sometimes conflicting regulations continue to evolve, and it is unclear which requirements will ultimately remain in effect following legislative or judicial review across multiple jurisdictions. This uncertainty is expected to result in ongoing compliance costs and may expose the Company to additional potential liabilities.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extent of these costs and risks is difficult to predict and will depend, in large part, on the extent of final regulations and the ways in which those regulations are enforced. The applicable requirements under these laws are subject to amendment, the imposition of new or additional requirements, changing interpretations by agencies or courts, and uncertainty as to whether or how enforcement will occur. If these laws or regulations impose significant operational restrictions and compliance requirements on the Company, they could increase costs associated with the Company’s operations, including costs for raw materials, energy and transportation. The Company may also face increased costs related to defending and resolving legal claims and other litigation related to climate change and the alleged impact of the Company’s operations on the environment. In addition, non-compliance with climate change treaties, regulations and disclosure requirements could also negatively impact the Company’s reputation and result in penalties or enforcement actions.</w:t>
      </w:r>
    </w:p>
    <w:p>
      <w:pPr>
        <w:spacing w:after="0" w:line="21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Furthermore, the Company is also subject to extended producer responsibility (“EPR”) regulations in jurisdictions such as California and New York. These laws impose significant obligations on producers and manufacturers involved in packaging or product distribution, including product take-back, recycling, and detailed reporting requirements. Compliance may increase operational complexity and result in higher administrative costs. For example, EPR regulations may require registration with producer responsibility organizations, payment of eco-modulated fees based on recyclability, and adherence to labeling and recordkeeping standards, with requirements varying across jurisdictions. Failure to comply with these evolving mandates may expose the Company to penalties, enforcement actions, and reputational harm.</w:t>
      </w:r>
    </w:p>
    <w:p>
      <w:pPr>
        <w:spacing w:after="0" w:line="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addition, the Company’s manufacturing facilities may become subject to further limitations on emissions due to public policy concerns regarding climate change or other environmental or health and safety concerns. Because the Company’s manufacturing processes use a significant amount of energy, especially natural gas, the imposition of greenhouse gas emissions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1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limitations, such as a “cap-and-trade” system, could require the Company to increase its capital expenditures, use its cash to acquire emission credits or restructure its manufacturing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above could result in a material adverse effect on the Company’s business, financial condition, results of operations, and prospects.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attain certain sustainability targets and goals could have a material adverse effect on the Company's business.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established strategies, goals and targets related to climate change and other sustainability matters. The Company’s ability to implement and achieve any such strategies, goals or targets depends on a number of factors, including, but not limited to, evolving regulatory standards, changes in carbon markets, consumer demand for low-carbon and sustainable products, technological developments, the conduct of third-party manufacturers and suppliers, climate change-related impacts, and raw material and supply chain disruptions. Actual or perceived failures or delays in implementing and achieving strategies, goals and targets related to climate change and other environmental matters could adversely affect the Company’s business, financial condition, results of operations, and prospects, and result in reputational harm and increased risk of litigation.</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investor advocacy groups, certain institutional investors, investment funds, lenders, market participants, stockholders, customers, and other stakeholders have focused increasingly on sustainability practices of companies. These parties have placed increased importance on the implications of the social cost of their investments. If Mohawk’s sustainability practices do not meet investor, lender, or other industry stakeholder expectations and standards, which continue to evolve, the Company’s access to capital may be negatively impacted based on an assessment of Mohawk’s sustainability strategies and practices. These limitations, in both the debt and equity markets, may materially negatively affect the Company’s ability to manage its liquidity, refinance existing debt, grow its businesses, and implement its strategies, as well as adversely impact the Company’s business, financial condition, results of operations, and prospects.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possible that investor advocacy groups, certain institutional investors, investment funds, lenders, market participants, stockholders, customers, and other stakeholders may not be satisfied with Mohawk’s sustainability practices or the speed of their adoption. In addition to the costs associated with the activities discussed above, the Company could also incur additional costs and require additional resources to monitor, report, and comply with various sustainability practices. Also, the Company’s failure, or perceived failure, to meet the standards set forth in its annual impact report could negatively impact its reputation, employee retention, and the willingness of customers and suppliers to do business with the Company.</w:t>
      </w:r>
    </w:p>
    <w:p>
      <w:pPr>
        <w:spacing w:after="0" w:line="20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exposed to litigation, claims and other legal proceedings relating to its products, operations and compliance with various laws and regulations.</w:t>
      </w:r>
    </w:p>
    <w:p>
      <w:pPr>
        <w:spacing w:after="0" w:line="1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In the ordinary course of business, the Company is subject to a variety of product-related claims, lawsuits and legal proceedings, including those relating to product liability, product warranty, product recall, personal injury, and other matters. The Company is also subject to various claims related to its operations and its compliance with various corporate laws and regulations. Specifically, the Company is currently subject to claims related to per- and polyfluoroalkyl substances (“PFAS”), which are increasingly the focus of regulatory scrutiny and public concern. Alleged historical or current use of PFAS in the Company’s products or processes could result in lawsuits seeking damages, remediation costs, or injunctive relief. The Company is also subject to certain alleged personal injury claims related to exposure to silica dust that have been submitted against it or its subsidiaries. Such proceedings may involve substantial legal expenses, potential settlements or judgments, and reputational harm. For more information, please Note 15,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of the Consolidated Financial Statements.</w:t>
      </w:r>
    </w:p>
    <w:p>
      <w:pPr>
        <w:spacing w:after="0" w:line="21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 very large claim or several similar claims asserted by a large class of plaintiffs could have a material adverse effect on the Company’s business, if the Company is unable to successfully defend against or resolve these matters or if its insurance coverage is insufficient to satisfy any judgments against the Company or settlements relating to these matters. Although the Company has product liability insurance and other types of insurance, the policies may not provide coverage for certain claims against the Company or may not be sufficient to cover all possible liabilities. Further, the Company may not be able to maintain insurance at commercially acceptable premium levels. Moreover, adverse publicity arising from claims made against the Company, even if the claims are not successful, could adversely affect the Company’s reputation and sales of its products.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to protect its intellectual property rights.</w:t>
      </w:r>
    </w:p>
    <w:p>
      <w:pPr>
        <w:spacing w:after="0" w:line="25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The Company relies on patent, trade secret and trademark protections in the U.S., the European Union and other jurisdictions, as well as confidentiality agreements with certain employees, to protect its intellectual property. The Company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cannot assure investors that any patents owned by or issued to it will provide the Company with competitive advantages, that third parties will not challenge these patents, or that the Company’s pending patent applications will ultimately be granted.</w:t>
      </w:r>
    </w:p>
    <w:p>
      <w:pPr>
        <w:spacing w:after="0" w:line="18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18"/>
          <w:szCs w:val="18"/>
          <w:color w:val="auto"/>
        </w:rPr>
        <w:t>The Company has obtained and applied for numerous U.S and foreign service marks and trademark registrations and will continue to evaluate the registration of additional service marks and trademarks, as appropriate. The Company cannot guarantee that any of the Company’s pending or future</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applications will be granted by the applicable governmental authorities. The failure to obtain trademark registrations in the U.S. and other jurisdictions could limit the Company’s ability to protect its trademarks and impede its marketing efforts in those jurisdictions.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Despite the Company’s efforts, it may be unable to prevent competitors or other third parties from using its technology without authorization, independently developing similar technology or designing around the Company’s patents. Such unauthorized use or the development of comparable technologies could diminish or eliminate the Company’s competitive advantage and result in lost sales.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generally requires third parties with access to the Company’s trade secrets to agree to keep such information confidential. While such measures are intended to protect the Company’s trade secrets, there can be no assurance that these agreements will not be breached, that the Company will have adequate remedies for any breach or that the Company’s confidential and proprietary information and technology will not be independently developed by or become otherwise known to third parties. In any of these circumstances, the Company’s competitiveness could be significantly impaired.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above could result in a material adverse effect on the Company’s business, financial condition, results of operations, and prospects.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the Company infringed their intellectual property or proprietary rights, which could cause the Company to incur significant expenses or prevent the Company from selling its products.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past, third parties have claimed that certain technologies incorporated in the Company’s products infringe their patent rights. The Company cannot be certain that the Company’s products do not and will not infringe issued patents or other intellectual property rights of others.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might be required to pay substantial damages (including punitive damages and attorneys’ fees), discontinue the use and sale of infringing products, expend significant resources to develop non-infringing technology or obtain licenses authorizing the use of infringing technology. There can be no assurance that licenses for disputed technology or intellectual property rights would be available on reasonable commercial terms, if at all. In the event of a successful claim against the Company along with failure to develop or license a substitute technology, the Company’s business, financial condition, results of operations, and prospects would be materially and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Technology Risks</w:t>
      </w:r>
    </w:p>
    <w:p>
      <w:pPr>
        <w:spacing w:after="0" w:line="252"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Company utilizes information systems within its own infrastructure as well as those provided by third-party service providers to manage its operations. Any failure, interruption, or deficiency in these systems could materially and adversely affect the Company’s business.</w:t>
      </w:r>
    </w:p>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businesses rely on its information systems, including its computer hardware, software and network, to obtain, process, analyze and manage data. The Company relies on these systems to, among other things:</w:t>
      </w:r>
    </w:p>
    <w:p>
      <w:pPr>
        <w:spacing w:after="0" w:line="21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facilitate the purchase, management, distribution, and payment for inventory items;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manage and monitor the daily operations of the Company’s distribution network;</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receive, process and ship orders on a timely basis;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manage accurate billing to and collections from customers;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control logistics and quality control for the Company’s retail operations;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manage financial reporting;</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monitor point of sale activity;</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store, deliver and transmit data to the Company’s sales and distribution systems; and</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manage and conduct certain production processes.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Any event that causes interruptions to the input, retrieval and transmission of data or increase in the Company’s service time could disrupt the Company’s normal operations. Interruption, impediment or failure of the Company’s information systems has in the past caused, and in the future could cause, unanticipated disruptions in service, decreased customer service and customer satisfaction and harm to the Company’s reputation, which could result in loss of customers, increased operating expenses and financial losses. There can be no assurance that the Company can effectively carry out its disaster recovery plan to handle the interruption or failure of its information systems, or that the Company will be able to restore its operational capacity within sufficient time to avoid material disruption to its business. In addition, there can be no assurance that the Company can effectively manage the resources necessary to sustain and protect an appropriate information system infrastructure, or effectively implement system upgrades in a timely manner.</w:t>
      </w:r>
    </w:p>
    <w:p>
      <w:pPr>
        <w:spacing w:after="0" w:line="20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7"/>
          <w:szCs w:val="17"/>
          <w:color w:val="auto"/>
        </w:rPr>
        <w:t>The Company, both itself and through third-party service providers, collects and processes proprietary, personal, confidential and sensitive data, which may include information about customers, employees, suppliers, distributors and others. Some of this data is stored, accessible or transferred internationally. As the regulatory environment related to information security, data collection and use, and privacy becomes increasingly rigorous, with new and constantly changing requirements applicable to the Company’s business, compliance with those requirements could also result in additional costs to the Company. Any failure to comply with federal, state or international privacy-related or data protection laws and regulations could result in proceedings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the Company by government entities or others. In addition to reputational impacts, penalties could include significant legal liability.</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Company also relies on third-party service providers for a variety of information technology services, and such partnerships could be sources of operational and data security risk to the Company. Examples include, but are not limited to, the following: disruptions in communication services provided by a third-party service provider, breakdowns or failures of a third-party service provider’s information systems; security breaches or cyber-attacks on a third-party service provider; capacity constraints; regulatory restrictions, fines, orders or other regulatory action causing reputational harm; failure of a third-party service provider to provide services for any reason; or poor performance of information technology services. In addition, the misappropriation, loss or misuse of customer, consumer, employee, supplier or Company data resulting from a failure of a third-party service provider could result in significant costs, lost sales, fines, lawsuits and damage to the Company’s reputation.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above could result in a material adverse effect on the Company’s business, financial condition, results of operations, and prospects.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cybersecurity risks and expects to incur increasing costs in an effort to minimize those risks.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both itself and through third-party service providers, employs information systems that allow for the secure storage and transmission of customers’, consumers’, vendors’, employees’ and its own sensitive and proprietary information. These systems may be subject to computer hacking, acts of vandalism or theft, malware, computer viruses or other malicious codes, phishing, employee error or malfeasance, catastrophes, unforeseen events or other cyber-attacks. Any significant compromise or breach of the Company’s information systems, whether external or internal, could result in the loss or misappropriation of sensitive data and significant costs, lost sales, fines, lawsuits and damage to the Company’s reputation. Furthermore, as cyber-attacks become more sophisticated, the Company expects to incur increasing costs to strengthen its systems from outside intrusions.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While the Company has implemented administrative and technical controls and has taken other preventive actions to reduce the risk of cyber</w:t>
      </w:r>
    </w:p>
    <w:p>
      <w:pPr>
        <w:spacing w:after="0" w:line="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incidents and protect its information system infrastructure, such controls and actions may be insufficient to prevent, or respond to, physical and electronic break-ins, cyber-attacks or other security breaches to the Company’s systems. There can be no assurance that the Company can effectively carry out its disaster recovery plan to address cyber-attacks or other security breaches to the Company’s systems, or that the Company will be able to restore its operational capacity within sufficient time to avoid material disruption to its business.</w:t>
      </w: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third-party service providers provide a number of key components necessary to the Company’s information systems. Any problems caused by these third-party service provider, including those resulting from cyber-attacks and security breaches, could adversely affect the Company’s information systems and its ability to conduct its business. Replacing these third-party service provider could also create significant delay and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above could result in a material adverse effect on the Company’s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risks related to artificial intelligence (“AI”) and emerging technologies.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rapid development of new technologies such as artificial intelligence (“AI”) continues to transform the industry and markets within which the Company operates. The Company’s ability to remain competitive depends on its capacity to adapt to rapid technological changes and successfully integrate new technologies into its operations. Such initiatives may require substantial investment, could result in operational disruptions during implementation, and may not achieve anticipated benefits. There can also be no assurance that operational transitions related to new technology will occur smoothly, and any delays or failures could impair business continuity, reduce productivity, and negatively impact financial performance. The Company cannot guarantee that it will maintain competitive strength against industry peers as technology continues to evolve.</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utilizes AI and machine learning technologies in various aspects of its operations, including production planning, predictive maintenance, quality control, and supply chain optimization. While these technologies offer significant benefits, they also present certain risks that could adversely affect the Company’s business. AI systems may produce inaccurate or biased outputs, fail to integrate effectively with existing processes, or experience technical malfunctions. Such issues could disrupt manufacturing operations, reduce efficiency, or lead to product quality concerns. Additionally, the Company’s reliance on AI-driven automation may increase vulnerability to cybersecurity threats, data breaches, or unauthorized access to proprietary information.</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regulatory frameworks governing AI use are evolving rapidly. Future laws or regulations may impose restrictions, increase compliance costs, or limit certain applications of AI in manufacturing. Failure to comply with these requirements could result in penalties, reputational harm, or operational delays. The Company’s ability to manage these risks effectively may impair the Company’s ability to achieve anticipated benefits from AI technologies.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above could result in a material adverse effect on the Company’s business, financial condition, results of operations, and prospects.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Liquidity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macroeconomic conditions could impact the Company’s access to credit and increase its borrowing costs.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downturn in the U.S. or global economies could impact the Company’s ability to obtain financing in the future, including any financing necessary to refinance existing indebtedness.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negative economic conditions may factor into the Company’s periodic credit ratings assessment by Moody’s Investors Service, Inc.,</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Standard &amp; Poor’s Financial Services, LLC and Fitch, Inc. Any future changes in the credit rating agencies’ methodology in assessing the Company’s credit strength and any downgrades in the Company’s credit ratings could increase the cost of its existing credit and could adversely affect the cost of and ability to obtain additional credit in the future. The Company can provide no assurances that downgrades will not occur. The cost and availability of credit during uncertain economic times could have a material adverse effect on the Company’s business, financial condition, results of operations, and prospects.</w:t>
      </w:r>
    </w:p>
    <w:p>
      <w:pPr>
        <w:spacing w:after="0" w:line="2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Company were unable to meet certain covenants contained in its existing credit facilities, it may be required to repay borrowings under the credit facilities prior to their maturity and may lose access to the credit facilities for additional borrowings that may be necessary to fund its operations and growth strategy.</w:t>
      </w:r>
    </w:p>
    <w:p>
      <w:pPr>
        <w:spacing w:after="0" w:line="18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August 12, 2022, the Company entered into a fourth amendment (the “Amendment”) to its existing senior revolving credit facility (the “Senior Credit Facility”) that provides for revolving credit, including limited amounts of credit in the form of letters of credit and swingline loans. The Amendment, among other things, increased the amount available under the Senior Credit Facility from $1,800 million to $1,950 million until October 18, 2024, after which the amount available under the Senior Credit Facility would decrease to $1,485 million. On August 5, 2024, the Company entered into a Lender Joinder Agreement, which increased commitments under the Senior Credit Facility by an additional $100 million until August 12, 2027, and further amended the Senior Credit Facility to permit the Company to increase the commitments under the Senior Credit Facility by an aggregate amount not to exceed $500 million. Any outstanding borrowings under the Company’s United States and European commercial paper programs also reduce availability under the Senior Credit Facility. Including commercial paper borrowings, the Company has utilized approximately $267 million under the Senior Credit Facility resulting in a total of $1,318 million available as of December 31, 2025.</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Company’s cash flow falls short of expectations, the Company may need to refinance all or a portion of its indebtedness through a public or private debt offering or by securing a new bank facility. However, there is no assurance that such refinancing could be completed on acceptable terms, or at all. Inability to access debt markets at competitive rates or in sufficient amounts, whether due to credit rating downgrades, market volatility, market disruption, or weakness in the Company’s businesses, could adversely and materially impact the Company’s ability to finance its operations or meet existing debt obligations.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the Company’s credit facilities include certain affirmative and negative covenants that impose restrictions on the Company’s financial and business operations, including limitations on liens, indebtedness, fundamental changes, asset dispositions, dividends and other similar restricted payments, transactions with affiliates, payments and modifications of certain existing debt, future negative pledges, and changes in the nature of</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In addition, the Senior Credit Facility, as amended, requires the Company to maintain a Consolidated Interest Coverage Ratio of at least 3.5 to 1.0. A failure to comply with the obligations contained in the Company’s current or future credit facilities or indentures relating to its outstanding public debt could result in an event of default or an acceleration of debt under other instruments that may contain cross-acceleration or cross-default provisions. The Company cannot be certain that it would have, or be able to obtain, sufficient funds to make these accelerated payments.</w:t>
      </w:r>
    </w:p>
    <w:p>
      <w:pPr>
        <w:spacing w:after="0" w:line="20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Declines in the Company’s business conditions have in the past and may in the future result in an impairment of the Company’s assets, which in turn has resulted in and could result in future material non-cash charges.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or prolonged decrease in the Company’s market capitalization, including a decline in stock price, or a negative long-term performance outlook, has in the past resulted in and could in the future result in an impairment of its assets. An impairment occurs when the carrying value of the Company’s assets exceed their fair value. The Company tests the goodwill and intangible assets on its balance sheet for impairment on an annual basis, and also when events occur or circumstances change that indicate that the fair value of the reporting unit or intangible asset may be below its carrying amount. Determining fair value requires substantial judgment and is subject to inherent uncertainties, estimates, and assumptions. Indicators for potential impairment include declines in market conditions, weaker-than-expected financial performance trends for the Company’s reporting units, declines in projected revenue, sustained decreases in stock price, or increases in the market-based weighted average cost of capital (“WACC”), among other factors. The indicators could signal that the carrying value of the Company’s goodwill or indefinite-lived intangible assets may not be recoverable.</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significant or prolonged deterioration in economic conditions, a further decline in the Company’s market capitalization or comparable company market multiples, a reduction in projected future cash flows, or increases in the WACC, could impact the Company’s assumptions and require a reassessment of goodwill or indefinite-lived intangible assets for impairment in future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tax consequences could materially and adversely affect the Company</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b w:val="1"/>
          <w:bCs w:val="1"/>
          <w:i w:val="1"/>
          <w:iCs w:val="1"/>
          <w:color w:val="auto"/>
        </w:rPr>
        <w:t xml:space="preserve"> business.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subject to the tax laws of the many jurisdictions in which it operates. These tax laws are complex, and the manner in which they apply to the Company’s facts is sometimes open to interpretation. In calculating the provision for income taxes, the Company must make judgments about the application of these inherently complex tax laws. The Company’s domestic and international tax liabilities are largely dependent upon the distribution of profit (loss) before tax among these many jurisdictions. However, the Company’s provision for income taxes also includes estimates of additional tax that may be incurred for tax exposures and reflects various estimates and assumptions, including assessments of future earnings of the Company that could impact the valuation of its deferred tax assets. The Company’s future results of operations and tax liability could be adversely affected by changes in the effective tax rate as a result of a change in the mix of earnings in countries with differing statutory tax rates, changes in the overall profitability of the Company, changes in tax legislation and rates, changes in generally accepted accounting principles, changes in the valuation of deferred tax assets and liabilities, changes in the amount of earnings permanently reinvested offshore, the results of audits and examinations of previously filed tax returns, and ongoing assessments of the Company’s tax exposures.</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countries in which the Company operates have enacted the Organization for Economic Co-operation and Development’s (“OECD”) Pillar Two Global Anti-Base Erosion (“GLOBE”) and Transitional Country-by-Country Reporting (“CBCR”) Safe Harbor rules. The OECD’s GLOBE model rules, and supplemental published administrative guidance, provide a framework that ensures that multinational enterprises (“MNE(s)”) with revenue above €750 million pay a minimum level of tax of 15% on their profits arising in each jurisdiction where they operate.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framework includes an income inclusion rule (“IIR”) and an undertaxed payments rule (“UTPR”) that work together to ensure a minimum level of tax in each jurisdiction in which a MNE operates. Further, countries can enact their own qualified domestic minimum top up tax (“QDMTT”) in order to limit the application of an IIR or UTPR to their domestic income. IIRs and QDMTTs were effective for the Company beginning in 2024 in some, but not all, of the jurisdictions in which the Company operates. The UTPR became effective for the Company beginning in 2025, which could subject the Company’s worldwide profits to a minimum level of tax regardless of whether the country in which the Company earned the income has adopted the GLOBE rules. The Company expects to be able to satisfy the requirements of certain CBCR Safe Harbor rules in many jurisdictions from 2024-2026, limiting the impact of the GLOBE rules in the qualifying jurisdictions, and as such, the Company does not anticipate a material impact to its provision for income taxes in the near term. The Company continues to monitor the OECD’s guidance related to the GLOBE rules and related legislation in the countries in which the Company operates to assess their potential impact to the Company’s income tax position.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maintains robust and comprehensive policies, processes, procedures and controls to protect and secure its information systems and data infrastructure from cybersecurity threats. The Company’s cybersecurity program is led by its Chief Information Security Officer (“CISO”). The Company’s cybersecurity program interfaces with other functional areas within the Company, including but not limited to the Company’s business segments and information technology (“IT”), legal, risk management, human resources and internal audit departments, as well as external third-party service providers, to identify and understand potential cybersecurity threats. The Company regularly assesses and updates its policies, processes, procedures and controls in light of ongoing cybersecurity developments.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Internally, the CISO coordinates oversight of reviewing security alerts, identifying and monitoring ongoing and potential cybersecurity threats, evaluating strategic business impacts of cybersecurity threats and developing programs and initiatives to educate the Company’s employees regarding cybersecurity. The CISO also manages the Company’s Computer Security Incident Response Plan (the “Incident Response Plan”), which outlines action steps for the preparation, identification, triage, analysis, containment, eradication, recovery and reflection stages of a cybersecurity incident. The Incident Response Plan serves as the charter for the Company’s Computer Security Incident Response Team (the “Incident Response Team”), which includes a strategic team comprising executives from various cross-functional management teams, as well as a tactical team comprising internal technical support roles and external third-party service providers. The Incident Response Plan provides how the Incident Response Team will analyze and, as necessary, escalate cybersecurity incidents both internally and with third-party service providers based on type and severity of the specific incident.</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CISO also oversees the Company’s management of third-party service providers. The Company has engaged a third-party managed detection and response company to monitor the security of its information systems, including intrusion detection, and to provide timely alerts if a cybersecurity event occurs. The Company also has engaged a third-party digital forensics and incident response consultant on retainer.</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also requires cybersecurity training for certain employees, focusing on the appropriate protection and security of confidential company and third-party information. Additionally, the Company provides annual cybersecurity awareness training that covers a broad range of security topics, which may include secure access practice, phishing schemes, remote work and response to suspicious activities. In addition to online training, employees are educated through a number of methods, including event-triggered awareness campaigns, recognition programs, security presentations, company intranet articles, videos, system-generated communications, email publications and various simulation exercises.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does not believe that any risks from cybersecurity threats, nor any previous cybersecurity incidents, have materially affected the Company. However, the sophistication of cyber threats continues to increase, and the preventative actions the Company has taken and continues to take to reduce the risk of cyber incidents and protect its systems and information may not successfully protect against all cyber incidents. For more information on how cybersecurity risk may materially affect the Company’s business strategy, results of operations, or financial condition, please refer to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Item 1A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Audit Committee and Board of Directors provide ultimate oversight of the Company’s cybersecurity risk management. The Audit Committee regularly reviews and discusses with management the policies, processes, procedures and controls pertaining to the management of the Company’s information technology operations, including cyber risks and cybersecurity. The Company’s Chief Information Officer (“CIO”) provides quarterly reports to the Board of Directors regarding the evolving cybersecurity risk landscape, including emerging risks, as well as the Company’s policies, processes, procedures and controls for managing these risks.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acting CISO reports directly to the CIO, who in turn reports to the Chief Executive Officer. The CISO maintains the certified information systems security professional certification and has more than 24 years of experience in cybersecurity. Under the direction of the CISO, the Company’s information technology department continuously analyzes cybersecurity risks to its business, considers industry trends and implements controls, as appropriate, to mitigate these risks. This analysis drives the Company’s long- and short-term cybersecurity strategies, which are executed through a collaborative effort within the IT department and are communicated to the Board of Directors regularly.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5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The Company owns and leases manufacturing and distribution facilities worldwide. The table below lists the primary owned and leased facilities as of December 31, 2025. The Company owns its corporate headquarters in Calhoun, Georgia. The Company also owns and operates service centers and stores in Canada, the U.S. and Russia, none of which are individually material. The Company believes its existing facilities are suitable for its present needs.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and Property Use</w:t>
            </w:r>
          </w:p>
        </w:tc>
        <w:tc>
          <w:tcPr>
            <w:tcW w:w="26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North America</w:t>
            </w:r>
          </w:p>
        </w:tc>
        <w:tc>
          <w:tcPr>
            <w:tcW w:w="218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rPr>
              <w:t>Europe and Russia</w:t>
            </w:r>
          </w:p>
        </w:tc>
        <w:tc>
          <w:tcPr>
            <w:tcW w:w="1820" w:type="dxa"/>
            <w:vAlign w:val="bottom"/>
          </w:tcPr>
          <w:p>
            <w:pPr>
              <w:jc w:val="right"/>
              <w:ind w:right="672"/>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Pr>
          <w:p>
            <w:pPr>
              <w:jc w:val="center"/>
              <w:ind w:left="672"/>
              <w:spacing w:after="0"/>
              <w:rPr>
                <w:sz w:val="20"/>
                <w:szCs w:val="20"/>
                <w:color w:val="auto"/>
              </w:rPr>
            </w:pPr>
            <w:r>
              <w:rPr>
                <w:rFonts w:ascii="Times New Roman" w:cs="Times New Roman" w:eastAsia="Times New Roman" w:hAnsi="Times New Roman"/>
                <w:sz w:val="14"/>
                <w:szCs w:val="14"/>
                <w:color w:val="auto"/>
                <w:w w:val="94"/>
              </w:rPr>
              <w:t>Total</w:t>
            </w:r>
          </w:p>
        </w:tc>
      </w:tr>
      <w:tr>
        <w:trPr>
          <w:trHeight w:val="23"/>
        </w:trPr>
        <w:tc>
          <w:tcPr>
            <w:tcW w:w="35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74"/>
        </w:trPr>
        <w:tc>
          <w:tcPr>
            <w:tcW w:w="35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Global Ceramic:</w:t>
            </w:r>
          </w:p>
        </w:tc>
        <w:tc>
          <w:tcPr>
            <w:tcW w:w="26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Manufacturing </w:t>
            </w:r>
            <w:r>
              <w:rPr>
                <w:rFonts w:ascii="Times New Roman" w:cs="Times New Roman" w:eastAsia="Times New Roman" w:hAnsi="Times New Roman"/>
                <w:sz w:val="23"/>
                <w:szCs w:val="23"/>
                <w:color w:val="auto"/>
                <w:vertAlign w:val="superscript"/>
              </w:rPr>
              <w:t>(1)</w:t>
            </w:r>
          </w:p>
        </w:tc>
        <w:tc>
          <w:tcPr>
            <w:tcW w:w="26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12</w:t>
            </w:r>
          </w:p>
        </w:tc>
        <w:tc>
          <w:tcPr>
            <w:tcW w:w="218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12</w:t>
            </w:r>
          </w:p>
        </w:tc>
        <w:tc>
          <w:tcPr>
            <w:tcW w:w="18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9"/>
              </w:rPr>
              <w:t>29</w:t>
            </w:r>
          </w:p>
        </w:tc>
      </w:tr>
      <w:tr>
        <w:trPr>
          <w:trHeight w:val="230"/>
        </w:trPr>
        <w:tc>
          <w:tcPr>
            <w:tcW w:w="3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Distribution / Warehouse </w:t>
            </w:r>
            <w:r>
              <w:rPr>
                <w:rFonts w:ascii="Times New Roman" w:cs="Times New Roman" w:eastAsia="Times New Roman" w:hAnsi="Times New Roman"/>
                <w:sz w:val="23"/>
                <w:szCs w:val="23"/>
                <w:color w:val="auto"/>
                <w:vertAlign w:val="superscript"/>
              </w:rPr>
              <w:t>(1)</w:t>
            </w:r>
          </w:p>
        </w:tc>
        <w:tc>
          <w:tcPr>
            <w:tcW w:w="26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11</w:t>
            </w:r>
          </w:p>
        </w:tc>
        <w:tc>
          <w:tcPr>
            <w:tcW w:w="21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10</w:t>
            </w:r>
          </w:p>
        </w:tc>
        <w:tc>
          <w:tcPr>
            <w:tcW w:w="18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22</w:t>
            </w:r>
          </w:p>
        </w:tc>
      </w:tr>
      <w:tr>
        <w:trPr>
          <w:trHeight w:val="256"/>
        </w:trPr>
        <w:tc>
          <w:tcPr>
            <w:tcW w:w="35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Flooring North America:</w:t>
            </w:r>
          </w:p>
        </w:tc>
        <w:tc>
          <w:tcPr>
            <w:tcW w:w="26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Manufacturing </w:t>
            </w:r>
            <w:r>
              <w:rPr>
                <w:rFonts w:ascii="Times New Roman" w:cs="Times New Roman" w:eastAsia="Times New Roman" w:hAnsi="Times New Roman"/>
                <w:sz w:val="23"/>
                <w:szCs w:val="23"/>
                <w:color w:val="auto"/>
                <w:vertAlign w:val="superscript"/>
              </w:rPr>
              <w:t>(1)</w:t>
            </w:r>
          </w:p>
        </w:tc>
        <w:tc>
          <w:tcPr>
            <w:tcW w:w="26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23</w:t>
            </w:r>
          </w:p>
        </w:tc>
        <w:tc>
          <w:tcPr>
            <w:tcW w:w="218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9"/>
              </w:rPr>
              <w:t>23</w:t>
            </w:r>
          </w:p>
        </w:tc>
      </w:tr>
      <w:tr>
        <w:trPr>
          <w:trHeight w:val="230"/>
        </w:trPr>
        <w:tc>
          <w:tcPr>
            <w:tcW w:w="3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Distribution / Warehouse </w:t>
            </w:r>
            <w:r>
              <w:rPr>
                <w:rFonts w:ascii="Times New Roman" w:cs="Times New Roman" w:eastAsia="Times New Roman" w:hAnsi="Times New Roman"/>
                <w:sz w:val="23"/>
                <w:szCs w:val="23"/>
                <w:color w:val="auto"/>
                <w:vertAlign w:val="superscript"/>
              </w:rPr>
              <w:t>(1)</w:t>
            </w:r>
          </w:p>
        </w:tc>
        <w:tc>
          <w:tcPr>
            <w:tcW w:w="26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w:t>
            </w:r>
          </w:p>
        </w:tc>
        <w:tc>
          <w:tcPr>
            <w:tcW w:w="21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20</w:t>
            </w:r>
          </w:p>
        </w:tc>
      </w:tr>
      <w:tr>
        <w:trPr>
          <w:trHeight w:val="256"/>
        </w:trPr>
        <w:tc>
          <w:tcPr>
            <w:tcW w:w="35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Flooring Rest of the World:</w:t>
            </w:r>
          </w:p>
        </w:tc>
        <w:tc>
          <w:tcPr>
            <w:tcW w:w="26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Manufacturing </w:t>
            </w:r>
            <w:r>
              <w:rPr>
                <w:rFonts w:ascii="Times New Roman" w:cs="Times New Roman" w:eastAsia="Times New Roman" w:hAnsi="Times New Roman"/>
                <w:sz w:val="23"/>
                <w:szCs w:val="23"/>
                <w:color w:val="auto"/>
                <w:vertAlign w:val="superscript"/>
              </w:rPr>
              <w:t>(1)</w:t>
            </w:r>
          </w:p>
        </w:tc>
        <w:tc>
          <w:tcPr>
            <w:tcW w:w="26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20</w:t>
            </w:r>
          </w:p>
        </w:tc>
        <w:tc>
          <w:tcPr>
            <w:tcW w:w="18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9"/>
              </w:rPr>
              <w:t>26</w:t>
            </w:r>
          </w:p>
        </w:tc>
      </w:tr>
      <w:tr>
        <w:trPr>
          <w:trHeight w:val="229"/>
        </w:trPr>
        <w:tc>
          <w:tcPr>
            <w:tcW w:w="3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Distribution / Warehouse </w:t>
            </w:r>
            <w:r>
              <w:rPr>
                <w:rFonts w:ascii="Times New Roman" w:cs="Times New Roman" w:eastAsia="Times New Roman" w:hAnsi="Times New Roman"/>
                <w:sz w:val="23"/>
                <w:szCs w:val="23"/>
                <w:color w:val="auto"/>
                <w:vertAlign w:val="superscript"/>
              </w:rPr>
              <w:t>(1)</w:t>
            </w:r>
          </w:p>
        </w:tc>
        <w:tc>
          <w:tcPr>
            <w:tcW w:w="26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23</w:t>
            </w:r>
          </w:p>
        </w:tc>
        <w:tc>
          <w:tcPr>
            <w:tcW w:w="18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29</w:t>
            </w:r>
          </w:p>
        </w:tc>
      </w:tr>
      <w:tr>
        <w:trPr>
          <w:trHeight w:val="257"/>
        </w:trPr>
        <w:tc>
          <w:tcPr>
            <w:tcW w:w="35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3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30"/>
        </w:trPr>
        <w:tc>
          <w:tcPr>
            <w:tcW w:w="35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Manufacturing </w:t>
            </w:r>
            <w:r>
              <w:rPr>
                <w:rFonts w:ascii="Times New Roman" w:cs="Times New Roman" w:eastAsia="Times New Roman" w:hAnsi="Times New Roman"/>
                <w:sz w:val="23"/>
                <w:szCs w:val="23"/>
                <w:b w:val="1"/>
                <w:bCs w:val="1"/>
                <w:color w:val="auto"/>
                <w:vertAlign w:val="superscript"/>
              </w:rPr>
              <w:t>(1)</w:t>
            </w:r>
          </w:p>
        </w:tc>
        <w:tc>
          <w:tcPr>
            <w:tcW w:w="26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35</w:t>
            </w:r>
          </w:p>
        </w:tc>
        <w:tc>
          <w:tcPr>
            <w:tcW w:w="21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32</w:t>
            </w:r>
          </w:p>
        </w:tc>
        <w:tc>
          <w:tcPr>
            <w:tcW w:w="18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11</w:t>
            </w:r>
          </w:p>
        </w:tc>
        <w:tc>
          <w:tcPr>
            <w:tcW w:w="1080" w:type="dxa"/>
            <w:vAlign w:val="bottom"/>
            <w:tcBorders>
              <w:bottom w:val="single" w:sz="8" w:color="auto"/>
            </w:tcBorders>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9"/>
              </w:rPr>
              <w:t>78</w:t>
            </w:r>
          </w:p>
        </w:tc>
      </w:tr>
      <w:tr>
        <w:trPr>
          <w:trHeight w:val="236"/>
        </w:trPr>
        <w:tc>
          <w:tcPr>
            <w:tcW w:w="35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Distribution / Warehouse </w:t>
            </w:r>
            <w:r>
              <w:rPr>
                <w:rFonts w:ascii="Times New Roman" w:cs="Times New Roman" w:eastAsia="Times New Roman" w:hAnsi="Times New Roman"/>
                <w:sz w:val="23"/>
                <w:szCs w:val="23"/>
                <w:b w:val="1"/>
                <w:bCs w:val="1"/>
                <w:color w:val="auto"/>
                <w:vertAlign w:val="superscript"/>
              </w:rPr>
              <w:t>(1)</w:t>
            </w:r>
          </w:p>
        </w:tc>
        <w:tc>
          <w:tcPr>
            <w:tcW w:w="260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31</w:t>
            </w:r>
          </w:p>
        </w:tc>
        <w:tc>
          <w:tcPr>
            <w:tcW w:w="218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33</w:t>
            </w:r>
          </w:p>
        </w:tc>
        <w:tc>
          <w:tcPr>
            <w:tcW w:w="18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7</w:t>
            </w:r>
          </w:p>
        </w:tc>
        <w:tc>
          <w:tcPr>
            <w:tcW w:w="1080" w:type="dxa"/>
            <w:vAlign w:val="bottom"/>
            <w:tcBorders>
              <w:bottom w:val="single" w:sz="8" w:color="auto"/>
            </w:tcBorders>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9"/>
              </w:rPr>
              <w:t>71</w:t>
            </w:r>
          </w:p>
        </w:tc>
      </w:tr>
    </w:tbl>
    <w:p>
      <w:pPr>
        <w:spacing w:after="0" w:line="112" w:lineRule="exact"/>
        <w:rPr>
          <w:sz w:val="20"/>
          <w:szCs w:val="20"/>
          <w:color w:val="auto"/>
        </w:rPr>
      </w:pPr>
    </w:p>
    <w:p>
      <w:pPr>
        <w:ind w:left="140" w:hanging="132"/>
        <w:spacing w:after="0"/>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Certain geographic locations may contain both manufacturing and distribution facilities.</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in the regular course of its business, the Company is involved in various lawsuits, claims, investigations and other legal matters. Except as noted elsewhere in this report, there are no material legal proceedings pending or known by the Company to be contemplated to which the Company is a party or to which any of its property is subject.</w:t>
      </w:r>
    </w:p>
    <w:p>
      <w:pPr>
        <w:spacing w:after="0" w:line="20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of the notes to the Consolidated Financial Statements included in Part II, Item 8 of this Form 10-K for a discussion of the Company’s legal proceedings.</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2"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7"/>
          <w:szCs w:val="17"/>
          <w:color w:val="auto"/>
        </w:rPr>
        <w:t>he information concerning mine safety violations or other regulatory matters required by Section 1503(a) of the Dodd-Frank Wall Street Reform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and Consumer Protection Act and Item 104 of Regulation S-K is included in Exhibit 95.1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190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for the Common Stock</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common stock, $0.01 par value per share (the “Common Stock”), is quoted on the New York Stock Exchange under the symbol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“MHK”.</w:t>
      </w:r>
    </w:p>
    <w:p>
      <w:pPr>
        <w:spacing w:after="0" w:line="1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February 19, 2026, there were 196 holders of record of Common Stock. The Company has not paid or declared any cash dividends on shares of its Common Stock since completing its initial public offering. The payment of future cash dividends will be at the discretion of the Board of Directors and will depend upon the Company’s profitability, financial condition, cash requirements, future prospects and other factors deemed relevant by the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July 24, 2025, the Company’s Board of Directors approved a new share repurchase program, authorizing the Company to repurchase up to $500 million of its common stock (the “2025 Share Repurchase Program”). For the three months ended December 31, 2025, the Company purchased $40.7 million of its common stock under the 2025 Share Repurchase Program. As of December 31, 2025, there remained $419.3 million authorized under the 2025 Share Repurchase Program.</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Under the Share Repurchase Programs, the Company may purchase common stock in open market transactions, block or privately negotiated transactions, and may from time to time purchase shares pursuant to trading plans in accordance with Rules 10b5-1 or 10b-18 under the Exchange Act or by any combination of such methods. The number of shares to be purchased and the timing of the purchases are based on a variety of factors, including, but not limited to, the level of cash balances, credit availability, debt covenant restrictions, general business conditions, regulatory requirements, the market price of the Company’s stock and the availability of alternative investment opportunities. No time limit was set for completion of repurchases under the Share Repurchase Program and the Share Repurchase Program may be suspended or discontinued at any time.</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Total Number of Shares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 Number of Shares</w:t>
            </w: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Average Price Paid per</w:t>
            </w:r>
          </w:p>
        </w:tc>
        <w:tc>
          <w:tcPr>
            <w:tcW w:w="1800" w:type="dxa"/>
            <w:vAlign w:val="bottom"/>
          </w:tcPr>
          <w:p>
            <w:pPr>
              <w:jc w:val="right"/>
              <w:ind w:right="59"/>
              <w:spacing w:after="0" w:line="145" w:lineRule="exact"/>
              <w:rPr>
                <w:sz w:val="20"/>
                <w:szCs w:val="20"/>
                <w:color w:val="auto"/>
              </w:rPr>
            </w:pPr>
            <w:r>
              <w:rPr>
                <w:rFonts w:ascii="Times New Roman" w:cs="Times New Roman" w:eastAsia="Times New Roman" w:hAnsi="Times New Roman"/>
                <w:sz w:val="14"/>
                <w:szCs w:val="14"/>
                <w:color w:val="auto"/>
              </w:rPr>
              <w:t>Purchased as Part of</w:t>
            </w:r>
          </w:p>
        </w:tc>
        <w:tc>
          <w:tcPr>
            <w:tcW w:w="15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of Shares That May Yet Be</w:t>
            </w:r>
          </w:p>
        </w:tc>
        <w:tc>
          <w:tcPr>
            <w:tcW w:w="0" w:type="dxa"/>
            <w:vAlign w:val="bottom"/>
          </w:tcPr>
          <w:p>
            <w:pPr>
              <w:spacing w:after="0"/>
              <w:rPr>
                <w:sz w:val="1"/>
                <w:szCs w:val="1"/>
                <w:color w:val="auto"/>
              </w:rPr>
            </w:pPr>
          </w:p>
        </w:tc>
      </w:tr>
      <w:tr>
        <w:trPr>
          <w:trHeight w:val="148"/>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2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Publicly Announced Plan in Purchased Under the Plan in</w:t>
            </w:r>
          </w:p>
        </w:tc>
        <w:tc>
          <w:tcPr>
            <w:tcW w:w="0" w:type="dxa"/>
            <w:vAlign w:val="bottom"/>
          </w:tcPr>
          <w:p>
            <w:pPr>
              <w:spacing w:after="0"/>
              <w:rPr>
                <w:sz w:val="1"/>
                <w:szCs w:val="1"/>
                <w:color w:val="auto"/>
              </w:rPr>
            </w:pPr>
          </w:p>
        </w:tc>
      </w:tr>
      <w:tr>
        <w:trPr>
          <w:trHeight w:val="198"/>
        </w:trPr>
        <w:tc>
          <w:tcPr>
            <w:tcW w:w="3780" w:type="dxa"/>
            <w:vAlign w:val="bottom"/>
            <w:tcBorders>
              <w:bottom w:val="single" w:sz="8" w:color="auto"/>
            </w:tcBorders>
            <w:vMerge w:val="continue"/>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Purchased in Millions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Share</w:t>
            </w:r>
          </w:p>
        </w:tc>
        <w:tc>
          <w:tcPr>
            <w:tcW w:w="1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Millions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Millions</w:t>
            </w:r>
          </w:p>
        </w:tc>
        <w:tc>
          <w:tcPr>
            <w:tcW w:w="0" w:type="dxa"/>
            <w:vAlign w:val="bottom"/>
          </w:tcPr>
          <w:p>
            <w:pPr>
              <w:spacing w:after="0"/>
              <w:rPr>
                <w:sz w:val="1"/>
                <w:szCs w:val="1"/>
                <w:color w:val="auto"/>
              </w:rPr>
            </w:pPr>
          </w:p>
        </w:tc>
      </w:tr>
      <w:tr>
        <w:trPr>
          <w:trHeight w:val="228"/>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28 through November 1, 2025</w:t>
            </w:r>
          </w:p>
        </w:tc>
        <w:tc>
          <w:tcPr>
            <w:tcW w:w="2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November 2 through November 29, 2025</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107.20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30 through December 31, 2025</w:t>
            </w:r>
          </w:p>
        </w:tc>
        <w:tc>
          <w:tcPr>
            <w:tcW w:w="238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107.20</w:t>
            </w:r>
          </w:p>
        </w:tc>
        <w:tc>
          <w:tcPr>
            <w:tcW w:w="1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0.4</w:t>
            </w: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The following discussion and analysis of the Company’s financial condition and results of operations from management's perspective should be read in conjunction with the Consolidated Financial Statements and related Notes included in this report. The discussion in this Form 10-K includes a comparison of fiscal 2025 to fiscal 2024. This section also discusses fiscal 2024 and fiscal 2023 results, as the Company revised certain fiscal 2024 and fiscal 2023 items to correct for a misstatement in its financial statements discovered during the fourth quarter of fiscal 2025. The revisions ensure comparability across all periods reflected herein. In the aggregate, the correction of these errors impacted the 2023 and 2024 statement of operations by $9.5 million ($4.1 million was recorded to cost of sales and $5.4 million to other (income) and expense, net) and $3.0 million ($1.2 million was recorded to cost of sales and $1.8 million to other (income) and expense, net), respectively, and adjusted the retained earnings balance for the year ended December 31, 2022, by $29.6 million. For additional information, see Note 18, </w:t>
      </w:r>
      <w:r>
        <w:rPr>
          <w:rFonts w:ascii="Times New Roman" w:cs="Times New Roman" w:eastAsia="Times New Roman" w:hAnsi="Times New Roman"/>
          <w:sz w:val="18"/>
          <w:szCs w:val="18"/>
          <w:i w:val="1"/>
          <w:iCs w:val="1"/>
          <w:color w:val="auto"/>
        </w:rPr>
        <w:t>Immaterial Correction of Prior Period Financial Statements</w:t>
      </w:r>
      <w:r>
        <w:rPr>
          <w:rFonts w:ascii="Times New Roman" w:cs="Times New Roman" w:eastAsia="Times New Roman" w:hAnsi="Times New Roman"/>
          <w:sz w:val="18"/>
          <w:szCs w:val="18"/>
          <w:color w:val="auto"/>
        </w:rPr>
        <w:t xml:space="preserve"> of the Notes to the Consolidated Financial Statements included in this report.</w:t>
      </w:r>
    </w:p>
    <w:p>
      <w:pPr>
        <w:spacing w:after="0" w:line="1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References to “Mohawk,” “the Company,” “we,” “our” and “us” refer to Mohawk Industries, Inc. and its consolidated subsidiaries as a whole, unless the context otherwise requires.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Summary</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Mohawk is a significant supplier of every major flooring category with manufacturing operations in 19 countries and sales in approximately 180 countries. Based on its annual sales, the Company believes it is the world’s largest flooring manufacturer. A majority of the Company’s long-lived assets are located in the United States and Europe, which are also the Company’s primary markets. Additionally, the Company maintains operations in Australia, Brazil, Malaysia, Mexico, New Zealand, Russia and other parts of the world. The Company is a leading provider of flooring for residential and commercial markets and has earned significant recognition for its innovation in design and performance as well as sustainable business practices.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Conditions</w:t>
      </w:r>
    </w:p>
    <w:p>
      <w:pPr>
        <w:spacing w:after="0" w:line="241" w:lineRule="exact"/>
        <w:rPr>
          <w:sz w:val="20"/>
          <w:szCs w:val="20"/>
          <w:color w:val="auto"/>
        </w:rPr>
      </w:pPr>
    </w:p>
    <w:p>
      <w:pPr>
        <w:jc w:val="both"/>
        <w:ind w:firstLine="648"/>
        <w:spacing w:after="0" w:line="207" w:lineRule="exact"/>
        <w:rPr>
          <w:sz w:val="20"/>
          <w:szCs w:val="20"/>
          <w:color w:val="auto"/>
        </w:rPr>
      </w:pPr>
      <w:r>
        <w:rPr>
          <w:rFonts w:ascii="Times New Roman" w:cs="Times New Roman" w:eastAsia="Times New Roman" w:hAnsi="Times New Roman"/>
          <w:sz w:val="18"/>
          <w:szCs w:val="18"/>
          <w:color w:val="auto"/>
        </w:rPr>
        <w:t>While commercial demand remained stable through 2025, continued softness in U.S. housing turnover and sluggish new home construction negatively affected the Company's volumes. Weak consumer confidence also contributed to deferred spending on major discretionary projects, including home renovation activities. Housing turnover in the Company's major regions remained near historically low levels, driven by affordability challenges and broader economic uncertainty. In the U.S., existing home sales for 2025 were flat compared to the prior year, although December sales improved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U.S. mortgage rates have recently declined to their lowest levels since autumn 2022; likewise, interest rates in Europe have declined to their lowest levels since autumn 2022. The Company believes these conditions, along with elevated consumer savings, lower inflation and stable employment, may support greater participation in the housing market as consumer confidence improves. However, the ongoing impact of soft demand, inflationary pressures and elevated interest rates to the Company’s business, financial condition, results of operations, and prospects cannot be determined at this time.</w:t>
      </w:r>
    </w:p>
    <w:p>
      <w:pPr>
        <w:spacing w:after="0" w:line="396" w:lineRule="exact"/>
        <w:rPr>
          <w:sz w:val="20"/>
          <w:szCs w:val="20"/>
          <w:color w:val="auto"/>
        </w:rPr>
      </w:pPr>
    </w:p>
    <w:p>
      <w:pPr>
        <w:jc w:val="both"/>
        <w:ind w:firstLine="648"/>
        <w:spacing w:after="0" w:line="204" w:lineRule="exact"/>
        <w:rPr>
          <w:sz w:val="20"/>
          <w:szCs w:val="20"/>
          <w:color w:val="auto"/>
        </w:rPr>
      </w:pPr>
      <w:r>
        <w:rPr>
          <w:rFonts w:ascii="Times New Roman" w:cs="Times New Roman" w:eastAsia="Times New Roman" w:hAnsi="Times New Roman"/>
          <w:sz w:val="18"/>
          <w:szCs w:val="18"/>
          <w:color w:val="auto"/>
        </w:rPr>
        <w:t>In response to the challenging market conditions described above, the Company undertook a series of actions throughout 2025 designed to support sales performance and improve product mix in softer demand environments. These actions included the introduction of innovative products, targeted marketing initiatives, and promotional programs intended to stimulate activity in both residential and commercial channels. The Company's premium product launches provided differentiated design and performance attributes aimed at encouraging remodeling activity. In addition, the introduction of new commercial collections contributed to increased traction in new construction and commercial remodeling projects. The Company also implemented a number of restructuring actions and operational improvements intended to reduce its cost structure and enhance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competitiveness. Recent initiatives to streamline overhead and exit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assets are expected to generate approximately $30 million in annual savings upon completion. Cumulatively, restructuring actions initiated since 2022 are expected to deliver annualized benefits of approximately $365 million. Given the lack of improvement in the Company's end markets during 2025, the Company reduced capital expenditures to $440 million, representing a decline of approximately 30% compared with its depreciation levels. The Company believes these actions reflect its disciplined approach to capital allocation in the current environment. The Company remains focused on effectively managing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market conditions, pursuing profitable growth opportunities, and positioning the Company to benefit when housing activity recovers.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Tariffs Update</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 continues to actively monitor trade policy and tariff announcements, including various executive orders issued by the current U.S. presidential administration. The Company has taken steps to mitigate the implemented tariffs through managing inventory of sourced products, adjusting prices as the tariff trade policy evolves and optimizing its supply chain. The Company continues to monitor changing tariff levels and adjust its strategies to mitigate their impact as trade policy evolves. These tariff actions, retaliatory measures, or other trade restrictions could materially and adversely impact the Company’s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business, financial condition, results of operations, and prospects. For more information, please refer to </w:t>
      </w:r>
      <w:r>
        <w:rPr>
          <w:rFonts w:ascii="Times New Roman" w:cs="Times New Roman" w:eastAsia="Times New Roman" w:hAnsi="Times New Roman"/>
          <w:sz w:val="18"/>
          <w:szCs w:val="18"/>
          <w:i w:val="1"/>
          <w:iCs w:val="1"/>
          <w:color w:val="auto"/>
        </w:rPr>
        <w:t>Risk Factors, “Increased tariffs may increase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Company’s costs of goods sold and/or decrease consumer discretionary spending” </w:t>
      </w:r>
      <w:r>
        <w:rPr>
          <w:rFonts w:ascii="Times New Roman" w:cs="Times New Roman" w:eastAsia="Times New Roman" w:hAnsi="Times New Roman"/>
          <w:sz w:val="18"/>
          <w:szCs w:val="18"/>
          <w:color w:val="auto"/>
        </w:rPr>
        <w:t>in Part I, Item 1A of this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Geopolitical Conflict</w:t>
      </w:r>
    </w:p>
    <w:p>
      <w:pPr>
        <w:spacing w:after="0" w:line="22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Due to its global footprint, Mohawk’s business is sensitive to geopolitical conflict. The Company maintains operations in Russia through its Global Ceramic and Flooring ROW reporting segments. The Company continues to face legal, regulatory, financial, operational and reputational risks due to its Russian operations. For more information, please refer to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Company faces risks and uncertainties related to its operations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Russia</w:t>
      </w:r>
      <w:r>
        <w:rPr>
          <w:rFonts w:ascii="Times New Roman" w:cs="Times New Roman" w:eastAsia="Times New Roman" w:hAnsi="Times New Roman"/>
          <w:sz w:val="18"/>
          <w:szCs w:val="18"/>
          <w:color w:val="auto"/>
        </w:rPr>
        <w:t>" in Part I, Item 1A of this Form 10-K. In addition, escalation of conflict in the Middle East region and elsewhere could result in supply chain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disruptions, higher energy and raw material prices, decreased consumer demand for the Company’s products and increased transportation barriers, though the extent of the impact on the Company’s business, financial condition, results of operations, and prospects cannot be predicted. The broader consequences of current ongoing military conflicts, which may include further economic sanctions, embargoes, regional instability, and geopolitical shifts; potential retaliatory actions, including nationalization of foreign-owned businesses; increased tensions between the United States and countries in which the Company operates; and the extent of the conflict’s effect on the Company’s business and results of operations, as well as the global economy, cannot be predicted.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Expenditures Overview</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believes it is well positioned with a strong balance sheet. Based on its current liquidity and available credit, the Company is in a position to finance internal investments, acquisitions and/or additional stock purchases and pay current debt as it becomes due. For information on risk that could impact the Company’s results, please refer to </w:t>
      </w:r>
      <w:r>
        <w:rPr>
          <w:rFonts w:ascii="Times New Roman" w:cs="Times New Roman" w:eastAsia="Times New Roman" w:hAnsi="Times New Roman"/>
          <w:sz w:val="18"/>
          <w:szCs w:val="18"/>
          <w:i w:val="1"/>
          <w:iCs w:val="1"/>
          <w:color w:val="auto"/>
        </w:rPr>
        <w:t>Risk Factors-Financial and Liquidity Risks</w:t>
      </w:r>
      <w:r>
        <w:rPr>
          <w:rFonts w:ascii="Times New Roman" w:cs="Times New Roman" w:eastAsia="Times New Roman" w:hAnsi="Times New Roman"/>
          <w:sz w:val="18"/>
          <w:szCs w:val="18"/>
          <w:color w:val="auto"/>
        </w:rPr>
        <w:t xml:space="preserve"> in Part I, Item 1A of this Form 10-K.</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2025, the Company invested approximately $440 million focused on completing capacity expansion projects and targeted initiatives that will drive cost reduction while improving operational performance. In 2026, the Company plans to invest approximately $480 million focused on completing capacity expansion projects and targeted initiatives that will drive cost reduction while improving operational performance.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earnings attributable to the Company were $369.9 million for 2025 compared to net earnings of $514.7 million for 2024. The change was primarily attributable to higher input costs; higher restructuring, acquisition and integration-related, and other costs; lower sales volume; the unfavorable impact of temporary plant shutdowns and the impact of the Flooring North America order management system conversion, partially offset by productivity gains.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generated $1,056.2 million of cash from operating activities. As of December 31, 2025, the Company had cash and cash equivalents of $856.1 million, of which $485.3 million was in the U.S. and $370.8 million was in other countries.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2024</w:t>
            </w: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2023</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10,785.4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0" w:type="dxa"/>
            <w:vAlign w:val="bottom"/>
          </w:tcPr>
          <w:p>
            <w:pPr>
              <w:spacing w:after="0"/>
              <w:rPr>
                <w:sz w:val="19"/>
                <w:szCs w:val="19"/>
                <w:color w:val="auto"/>
              </w:rPr>
            </w:pP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10,836.9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tcPr>
          <w:p>
            <w:pPr>
              <w:spacing w:after="0"/>
              <w:rPr>
                <w:sz w:val="19"/>
                <w:szCs w:val="19"/>
                <w:color w:val="auto"/>
              </w:rPr>
            </w:pPr>
          </w:p>
        </w:tc>
        <w:tc>
          <w:tcPr>
            <w:tcW w:w="14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11,135.1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8,210.7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8,150.4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8,429.6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Pr>
          <w:p>
            <w:pPr>
              <w:spacing w:after="0"/>
              <w:rPr>
                <w:sz w:val="19"/>
                <w:szCs w:val="19"/>
                <w:color w:val="auto"/>
              </w:rPr>
            </w:pPr>
          </w:p>
        </w:tc>
        <w:tc>
          <w:tcPr>
            <w:tcW w:w="11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2,574.7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220" w:type="dxa"/>
            <w:vAlign w:val="bottom"/>
          </w:tcPr>
          <w:p>
            <w:pPr>
              <w:spacing w:after="0"/>
              <w:rPr>
                <w:sz w:val="19"/>
                <w:szCs w:val="19"/>
                <w:color w:val="auto"/>
              </w:rPr>
            </w:pP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2,686.5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240" w:type="dxa"/>
            <w:vAlign w:val="bottom"/>
          </w:tcPr>
          <w:p>
            <w:pPr>
              <w:spacing w:after="0"/>
              <w:rPr>
                <w:sz w:val="19"/>
                <w:szCs w:val="19"/>
                <w:color w:val="auto"/>
              </w:rPr>
            </w:pPr>
          </w:p>
        </w:tc>
        <w:tc>
          <w:tcPr>
            <w:tcW w:w="14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2,705.5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Selling, general and administrative expenses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2,065.0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1,984.8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2,119.7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indefinite-lived intangibles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19.9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8.2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877.7</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489.8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693.5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(291.9)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17.8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20" w:type="dxa"/>
            <w:vAlign w:val="bottom"/>
          </w:tcPr>
          <w:p>
            <w:pPr>
              <w:spacing w:after="0"/>
              <w:rPr>
                <w:sz w:val="19"/>
                <w:szCs w:val="19"/>
                <w:color w:val="auto"/>
              </w:rPr>
            </w:pP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48.5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40" w:type="dxa"/>
            <w:vAlign w:val="bottom"/>
          </w:tcPr>
          <w:p>
            <w:pPr>
              <w:spacing w:after="0"/>
              <w:rPr>
                <w:sz w:val="19"/>
                <w:szCs w:val="19"/>
                <w:color w:val="auto"/>
              </w:rPr>
            </w:pPr>
          </w:p>
        </w:tc>
        <w:tc>
          <w:tcPr>
            <w:tcW w:w="14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77.5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3.3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before income taxes</w:t>
            </w:r>
          </w:p>
        </w:tc>
        <w:tc>
          <w:tcPr>
            <w:tcW w:w="260" w:type="dxa"/>
            <w:vAlign w:val="bottom"/>
          </w:tcPr>
          <w:p>
            <w:pPr>
              <w:spacing w:after="0"/>
              <w:rPr>
                <w:sz w:val="19"/>
                <w:szCs w:val="19"/>
                <w:color w:val="auto"/>
              </w:rPr>
            </w:pPr>
          </w:p>
        </w:tc>
        <w:tc>
          <w:tcPr>
            <w:tcW w:w="11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468.7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20" w:type="dxa"/>
            <w:vAlign w:val="bottom"/>
          </w:tcPr>
          <w:p>
            <w:pPr>
              <w:spacing w:after="0"/>
              <w:rPr>
                <w:sz w:val="19"/>
                <w:szCs w:val="19"/>
                <w:color w:val="auto"/>
              </w:rPr>
            </w:pP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643.0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240" w:type="dxa"/>
            <w:vAlign w:val="bottom"/>
          </w:tcPr>
          <w:p>
            <w:pPr>
              <w:spacing w:after="0"/>
              <w:rPr>
                <w:sz w:val="19"/>
                <w:szCs w:val="19"/>
                <w:color w:val="auto"/>
              </w:rPr>
            </w:pP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(364.0)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tax expense </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98.8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128.2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84.9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 including noncontrolling interests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369.9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514.8</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(448.9)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69"/>
        </w:trPr>
        <w:tc>
          <w:tcPr>
            <w:tcW w:w="41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Less: Net earnings attributable to noncontrolling</w:t>
            </w: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0.1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0.1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169"/>
        </w:trPr>
        <w:tc>
          <w:tcPr>
            <w:tcW w:w="41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Net earnings (loss) attributable to Mohawk</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369.9</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Industries, Inc.</w:t>
            </w:r>
          </w:p>
        </w:tc>
        <w:tc>
          <w:tcPr>
            <w:tcW w:w="26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514.7</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(449.0)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pacing w:after="0" w:line="35" w:lineRule="exact"/>
        <w:rPr>
          <w:sz w:val="20"/>
          <w:szCs w:val="20"/>
          <w:color w:val="auto"/>
        </w:rPr>
      </w:pPr>
    </w:p>
    <w:p>
      <w:pPr>
        <w:ind w:left="200" w:hanging="174"/>
        <w:spacing w:after="0"/>
        <w:tabs>
          <w:tab w:leader="none" w:pos="20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Cost of sales includes:</w:t>
      </w:r>
    </w:p>
    <w:tbl>
      <w:tblPr>
        <w:tblLayout w:type="fixed"/>
        <w:tblInd w:w="0" w:type="dxa"/>
        <w:tblCellMar>
          <w:top w:w="0" w:type="dxa"/>
          <w:left w:w="0" w:type="dxa"/>
          <w:bottom w:w="0" w:type="dxa"/>
          <w:right w:w="0" w:type="dxa"/>
        </w:tblCellMar>
      </w:tblPr>
      <w:tr>
        <w:trPr>
          <w:trHeight w:val="158"/>
        </w:trPr>
        <w:tc>
          <w:tcPr>
            <w:tcW w:w="160" w:type="dxa"/>
            <w:vAlign w:val="bottom"/>
            <w:shd w:val="clear" w:color="auto" w:fill="CCEEFF"/>
          </w:tcPr>
          <w:p>
            <w:pPr>
              <w:spacing w:after="0"/>
              <w:rPr>
                <w:sz w:val="13"/>
                <w:szCs w:val="13"/>
                <w:color w:val="auto"/>
              </w:rPr>
            </w:pPr>
          </w:p>
        </w:tc>
        <w:tc>
          <w:tcPr>
            <w:tcW w:w="3880" w:type="dxa"/>
            <w:vAlign w:val="bottom"/>
            <w:shd w:val="clear" w:color="auto" w:fill="CCEEFF"/>
          </w:tcPr>
          <w:p>
            <w:pPr>
              <w:ind w:left="200"/>
              <w:spacing w:after="0" w:line="159" w:lineRule="exact"/>
              <w:rPr>
                <w:sz w:val="20"/>
                <w:szCs w:val="20"/>
                <w:color w:val="auto"/>
              </w:rPr>
            </w:pPr>
            <w:r>
              <w:rPr>
                <w:rFonts w:ascii="Times New Roman" w:cs="Times New Roman" w:eastAsia="Times New Roman" w:hAnsi="Times New Roman"/>
                <w:sz w:val="14"/>
                <w:szCs w:val="14"/>
                <w:color w:val="auto"/>
              </w:rPr>
              <w:t>Restructuring, acquisition and integration-related charges and</w:t>
            </w:r>
          </w:p>
        </w:tc>
        <w:tc>
          <w:tcPr>
            <w:tcW w:w="56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141.7</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700" w:type="dxa"/>
            <w:vAlign w:val="bottom"/>
            <w:vMerge w:val="restart"/>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79.7</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640" w:type="dxa"/>
            <w:vAlign w:val="bottom"/>
            <w:vMerge w:val="restart"/>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105.0</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costs</w:t>
            </w:r>
          </w:p>
        </w:tc>
        <w:tc>
          <w:tcPr>
            <w:tcW w:w="56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Step up of acquisition inventory</w:t>
            </w:r>
          </w:p>
        </w:tc>
        <w:tc>
          <w:tcPr>
            <w:tcW w:w="560" w:type="dxa"/>
            <w:vAlign w:val="bottom"/>
          </w:tcPr>
          <w:p>
            <w:pPr>
              <w:spacing w:after="0"/>
              <w:rPr>
                <w:sz w:val="17"/>
                <w:szCs w:val="17"/>
                <w:color w:val="auto"/>
              </w:rPr>
            </w:pPr>
          </w:p>
        </w:tc>
        <w:tc>
          <w:tcPr>
            <w:tcW w:w="10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70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6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9"/>
        </w:trPr>
        <w:tc>
          <w:tcPr>
            <w:tcW w:w="160" w:type="dxa"/>
            <w:vAlign w:val="bottom"/>
            <w:shd w:val="clear" w:color="auto" w:fill="CCEEFF"/>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charges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(11.3)</w:t>
            </w:r>
          </w:p>
        </w:tc>
        <w:tc>
          <w:tcPr>
            <w:tcW w:w="130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(0.1) %</w:t>
            </w:r>
          </w:p>
        </w:tc>
        <w:tc>
          <w:tcPr>
            <w:tcW w:w="116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3.5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6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4.1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3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Selling, general and administrative expenses include:</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0" w:type="dxa"/>
            <w:vAlign w:val="bottom"/>
            <w:shd w:val="clear" w:color="auto" w:fill="CCEEFF"/>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Restructuring, acquisition and integration-related charges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11.6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70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14.4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6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27.2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Reserves and fees for Legal settlements,</w:t>
            </w:r>
          </w:p>
        </w:tc>
        <w:tc>
          <w:tcPr>
            <w:tcW w:w="560" w:type="dxa"/>
            <w:vAlign w:val="bottom"/>
          </w:tcPr>
          <w:p>
            <w:pPr>
              <w:spacing w:after="0"/>
              <w:rPr>
                <w:sz w:val="17"/>
                <w:szCs w:val="17"/>
                <w:color w:val="auto"/>
              </w:rPr>
            </w:pPr>
          </w:p>
        </w:tc>
        <w:tc>
          <w:tcPr>
            <w:tcW w:w="10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50.9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70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9.9</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6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87.8</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160" w:type="dxa"/>
            <w:vAlign w:val="bottom"/>
            <w:shd w:val="clear" w:color="auto" w:fill="CCEEFF"/>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charges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0.5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70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10.7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6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3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(income) expense includes:</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0" w:type="dxa"/>
            <w:vAlign w:val="bottom"/>
            <w:shd w:val="clear" w:color="auto" w:fill="CCEEFF"/>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Release of indemnification asset</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(0.7)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70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6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(3.0)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charges</w:t>
            </w:r>
          </w:p>
        </w:tc>
        <w:tc>
          <w:tcPr>
            <w:tcW w:w="560" w:type="dxa"/>
            <w:vAlign w:val="bottom"/>
          </w:tcPr>
          <w:p>
            <w:pPr>
              <w:spacing w:after="0"/>
              <w:rPr>
                <w:sz w:val="17"/>
                <w:szCs w:val="17"/>
                <w:color w:val="auto"/>
              </w:rPr>
            </w:pPr>
          </w:p>
        </w:tc>
        <w:tc>
          <w:tcPr>
            <w:tcW w:w="10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70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1.8</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6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9"/>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w:t>
            </w: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includes: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tax regulation change</w:t>
            </w:r>
          </w:p>
        </w:tc>
        <w:tc>
          <w:tcPr>
            <w:tcW w:w="560" w:type="dxa"/>
            <w:vAlign w:val="bottom"/>
          </w:tcPr>
          <w:p>
            <w:pPr>
              <w:spacing w:after="0"/>
              <w:rPr>
                <w:sz w:val="17"/>
                <w:szCs w:val="17"/>
                <w:color w:val="auto"/>
              </w:rPr>
            </w:pPr>
          </w:p>
        </w:tc>
        <w:tc>
          <w:tcPr>
            <w:tcW w:w="10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70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2.9</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6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209"/>
        </w:trPr>
        <w:tc>
          <w:tcPr>
            <w:tcW w:w="160" w:type="dxa"/>
            <w:vAlign w:val="bottom"/>
            <w:shd w:val="clear" w:color="auto" w:fill="CCEEFF"/>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Reversal of uncertain position - Income taxes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0.7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70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6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3.0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as Compared with Year Ended December 31,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sales for 2025 were $10,785.4 million compared to net sales of $10,836.9 million for 2024. The change was primarily attributable to lower sales volume of approximately $184 million; fewer shipping days for the twelve months ended December 31, 2025, of approximately $53 million and the impact of the order management system conversion of approximately $50 million, partially offset by the favorable net impact of foreign exchange rates of approximately $141 million and the favorable net impact of price and product mix of approximately $100 million.</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Global Ceramic</w:t>
      </w:r>
      <w:r>
        <w:rPr>
          <w:rFonts w:ascii="Times New Roman" w:cs="Times New Roman" w:eastAsia="Times New Roman" w:hAnsi="Times New Roman"/>
          <w:sz w:val="18"/>
          <w:szCs w:val="18"/>
          <w:color w:val="auto"/>
        </w:rPr>
        <w:t>—Net sales for 2025 were $4,289.4 million compared to net sales of $4,226.6 million for 2024. The change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the favorable net impact of price and product mix of approximately $125 million and the favorable net impact of foreign exchange rates of approximately $50 million, partially offset by lower sales volume of approximately $83 million and fewer shipping days for the twelve months ended December 31, 2025, of approximately $27 million.</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Flooring NA</w:t>
      </w:r>
      <w:r>
        <w:rPr>
          <w:rFonts w:ascii="Times New Roman" w:cs="Times New Roman" w:eastAsia="Times New Roman" w:hAnsi="Times New Roman"/>
          <w:sz w:val="18"/>
          <w:szCs w:val="18"/>
          <w:color w:val="auto"/>
        </w:rPr>
        <w:t>—Net sales for 2025 were $3,638.5 million compared to net sales of $3,769.9 million for 2024. The change was primarily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lower sales volume of approximately $109 million and the impact of the order management system conversion of approximately $50 million, partially offset by the favorable net impact of price and product mix of approximately $43 million.</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Flooring ROW</w:t>
      </w:r>
      <w:r>
        <w:rPr>
          <w:rFonts w:ascii="Times New Roman" w:cs="Times New Roman" w:eastAsia="Times New Roman" w:hAnsi="Times New Roman"/>
          <w:sz w:val="18"/>
          <w:szCs w:val="18"/>
          <w:color w:val="auto"/>
        </w:rPr>
        <w:t>—Net sales for 2025 were $2,857.5 million compared to net sales of $2,840.4 million for 2024. The change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the favorable net impact of foreign exchange rates of approximately $90 million, partially offset by the unfavorable net impact of price and product mix of approximately $68 million.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Quarterly net sales and the percentage changes in net sales by quarter for 2025 versus 2024 were as follows (dollars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3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2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Change</w:t>
            </w:r>
          </w:p>
        </w:tc>
      </w:tr>
      <w:tr>
        <w:trPr>
          <w:trHeight w:val="23"/>
        </w:trPr>
        <w:tc>
          <w:tcPr>
            <w:tcW w:w="39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3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2,525.8</w:t>
            </w:r>
          </w:p>
        </w:tc>
        <w:tc>
          <w:tcPr>
            <w:tcW w:w="16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2,679.4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3220" w:type="dxa"/>
            <w:vAlign w:val="bottom"/>
          </w:tcPr>
          <w:p>
            <w:pPr>
              <w:spacing w:after="0"/>
              <w:rPr>
                <w:sz w:val="19"/>
                <w:szCs w:val="19"/>
                <w:color w:val="auto"/>
              </w:rPr>
            </w:pPr>
          </w:p>
        </w:tc>
        <w:tc>
          <w:tcPr>
            <w:tcW w:w="1340" w:type="dxa"/>
            <w:vAlign w:val="bottom"/>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2,802.1</w:t>
            </w:r>
          </w:p>
        </w:tc>
        <w:tc>
          <w:tcPr>
            <w:tcW w:w="16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2,801.3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3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2,757.9</w:t>
            </w:r>
          </w:p>
        </w:tc>
        <w:tc>
          <w:tcPr>
            <w:tcW w:w="16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2,719.0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3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2,699.6</w:t>
            </w:r>
          </w:p>
        </w:tc>
        <w:tc>
          <w:tcPr>
            <w:tcW w:w="16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2,637.2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year</w:t>
            </w:r>
          </w:p>
        </w:tc>
        <w:tc>
          <w:tcPr>
            <w:tcW w:w="3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10,785.4</w:t>
            </w:r>
          </w:p>
        </w:tc>
        <w:tc>
          <w:tcPr>
            <w:tcW w:w="162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10,836.9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for 2025 was $2,574.7 million compared to gross profit of $2,686.5 million for 2024. The change was primarily attributable to higher input costs of approximately $135 million; lower sales volume of approximately $72 million; the unfavorable impact of temporary plant shutdowns of approximately $52 million; higher restructuring, acquisition and integration-related, and other costs of approximately $47 million and the impact of the order management system conversion of approximately $26 million, partially offset by productivity gains of approximately $188 million and the favorable net impact of foreign exchange rates of approximately $48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2025 were $2,065.0 million compared to $1,984.8 million for 2024. The change was primarily attributable to higher input costs of approximately $53 million; higher restructuring, acquisition and integration-related, and other costs of approximately $40 million and the unfavorable net impact of foreign exchange rates of approximately $26 million, partially offset by productivity gains of approximately $32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 and indefinite-lived intangibles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Impairment of goodwill and indefinite-lived intangibles for 2025 was $19.9 million compared to $8.2 million for 2024. During the fourth quarter of 2024 and 2025, the Company compared the estimated fair values of its indefinite-lived intangible to their carrying values and determined that there was an impairment charge in Global Ceramic in 2024 and Flooring Rest of the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World in 2025. See Note 7,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of the notes to the Consolidated Financial Statements included in Part II, Item 8 of this Form 10-K for further discussion of the Company’s impairment charges.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2025 was $489.8 million compared to operating income of $693.5 million for 2024. The change was primarily attributable to higher input costs of approximately $188 million; higher restructuring, acquisition and integration-related, and other costs of approximately $87 million; lower sales volume of approximately $69 million; the unfavorable impact of temporary plant shutdowns of approximately $52 million and the impact of the order management system conversion of approximately $30 million, partially offset by productivity gains of approximately $220 million.</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Global Ceramic</w:t>
      </w:r>
      <w:r>
        <w:rPr>
          <w:rFonts w:ascii="Times New Roman" w:cs="Times New Roman" w:eastAsia="Times New Roman" w:hAnsi="Times New Roman"/>
          <w:sz w:val="18"/>
          <w:szCs w:val="18"/>
          <w:color w:val="auto"/>
        </w:rPr>
        <w:t>—Operating income was $266.7 million for 2025 compared to operating income of $249.5 million for 2024. The change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productivity gains of approximately $84 million; the favorable net impact of price and product mix of approximately $56 million; the favorable net impact of foreign exchange rates of approximately $27 million and lower restructuring, acquisition and integration-related, and other costs of approximately $18 million, partially offset by higher input costs of approximately $107 million; lower sales volume of approximately $41 million.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Flooring NA</w:t>
      </w:r>
      <w:r>
        <w:rPr>
          <w:rFonts w:ascii="Times New Roman" w:cs="Times New Roman" w:eastAsia="Times New Roman" w:hAnsi="Times New Roman"/>
          <w:sz w:val="18"/>
          <w:szCs w:val="18"/>
          <w:color w:val="auto"/>
        </w:rPr>
        <w:t>—Operating income was $113.6 million for 2025 compared to operating income of $237.3 million for 2024. The change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higher input costs of approximately $81 million; higher restructuring, acquisition and integration-related, and other costs of approximately $53 million; the unfavorable impact of temporary plant shutdowns of approximately $42 million and the impact of the order management system conversion of approximately $30 million, partially offset by productivity gains of approximately $112 million.</w:t>
      </w:r>
    </w:p>
    <w:p>
      <w:pPr>
        <w:spacing w:after="0" w:line="20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Flooring ROW</w:t>
      </w:r>
      <w:r>
        <w:rPr>
          <w:rFonts w:ascii="Times New Roman" w:cs="Times New Roman" w:eastAsia="Times New Roman" w:hAnsi="Times New Roman"/>
          <w:sz w:val="18"/>
          <w:szCs w:val="18"/>
          <w:color w:val="auto"/>
        </w:rPr>
        <w:t>—Operating income was $212.9 million for 2025 compared to operating income of $265.2 million for 2024. The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attributable to the unfavorable net impact of price and product mix of approximately $60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was $17.8 million for 2025 compared to interest expense of $48.5 million for 2024. The change was primarily attributable to strong cash flow and prepayments of the U.S. and European portions of the Term Loan Facility during the twelve months ended December 31, 2024, resulting in lower debt.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 net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expense was $3.3 million for 2025 compared to other expense of $2.0 million for 2024. Other income and expense, net did not significantly change for the twelve months ended December 31, 2025, from twelve months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4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For 2025, the Company recorded income tax expense of $98.8 million on income before income taxes of $468.7 million for an effective tax rate of 21.1%, as compared to an income tax expense of $128.2 million on income before income taxes of $643.0 million, resulting in an effective tax rate of</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19.9% for 2024. The increase in the effective tax rate was primarily driven by a larger increase in unrecognized tax benefits and amended returns during 2025, partially offset by a tax benefit related to a prior period adjustment to deferred taxes during 2025 and the Company’s geographic dispersion of profits and losses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as Compared with Year Ended December 31,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sales for 2024 were $10,836.9 million compared to net sales of $11,135.1 million for 2023. The change was primarily attributable to the unfavorable net impact of price and product mix of approximately $397 million and the unfavorable net impact of foreign exchange rates of approximately $68 million, partially offset by more shipping days for the year ended December 31, 2024 of approximately $92 million; higher sales volume attributable to acquisitions of approximately $48 million and higher sales volume of approximately $27 million.</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Global Ceramic</w:t>
      </w:r>
      <w:r>
        <w:rPr>
          <w:rFonts w:ascii="Times New Roman" w:cs="Times New Roman" w:eastAsia="Times New Roman" w:hAnsi="Times New Roman"/>
          <w:sz w:val="18"/>
          <w:szCs w:val="18"/>
          <w:color w:val="auto"/>
        </w:rPr>
        <w:t>—Net sales for 2024 were $4,226.6 million compared to net sales of $4,300.1 million for 2023. The change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the unfavorable net impact of price and product mix of approximately $64 million; the unfavorable net impact of foreign exchange rates of approximately $64 million and lower sales volume of approximately $35 million, partially offset by higher sales volume attributable to acquisitions of approximately $48 million and more shipping days for the year ended December 31, 2024, of approximately $42 million.</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Flooring NA</w:t>
      </w:r>
      <w:r>
        <w:rPr>
          <w:rFonts w:ascii="Times New Roman" w:cs="Times New Roman" w:eastAsia="Times New Roman" w:hAnsi="Times New Roman"/>
          <w:sz w:val="18"/>
          <w:szCs w:val="18"/>
          <w:color w:val="auto"/>
        </w:rPr>
        <w:t>—Net sales for 2024 were $3,769.9 million compared to net sales of $3,829.4 million for 2023. The change was primarily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unfavorable net impact of price and product mix of approximately $126 million, partially offset by higher sales volume of approximately $37 million.</w:t>
      </w:r>
    </w:p>
    <w:p>
      <w:pPr>
        <w:spacing w:after="0" w:line="20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Flooring ROW</w:t>
      </w:r>
      <w:r>
        <w:rPr>
          <w:rFonts w:ascii="Times New Roman" w:cs="Times New Roman" w:eastAsia="Times New Roman" w:hAnsi="Times New Roman"/>
          <w:sz w:val="18"/>
          <w:szCs w:val="18"/>
          <w:color w:val="auto"/>
        </w:rPr>
        <w:t>—Net sales for 2024 were $2,840.4 million compared to net sales of $3,005.6 million for 2023. The change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the unfavorable net impact of price and product mix of approximately $207 million.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Quarterly net sales and the percentage changes in net sales by quarter for 2024 versus 2023 were as follows (dollars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34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2024</w:t>
            </w:r>
          </w:p>
        </w:tc>
        <w:tc>
          <w:tcPr>
            <w:tcW w:w="162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Change</w:t>
            </w:r>
          </w:p>
        </w:tc>
      </w:tr>
      <w:tr>
        <w:trPr>
          <w:trHeight w:val="23"/>
        </w:trPr>
        <w:tc>
          <w:tcPr>
            <w:tcW w:w="39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3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2,679.4</w:t>
            </w:r>
          </w:p>
        </w:tc>
        <w:tc>
          <w:tcPr>
            <w:tcW w:w="16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2,806.2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3220" w:type="dxa"/>
            <w:vAlign w:val="bottom"/>
          </w:tcPr>
          <w:p>
            <w:pPr>
              <w:spacing w:after="0"/>
              <w:rPr>
                <w:sz w:val="19"/>
                <w:szCs w:val="19"/>
                <w:color w:val="auto"/>
              </w:rPr>
            </w:pPr>
          </w:p>
        </w:tc>
        <w:tc>
          <w:tcPr>
            <w:tcW w:w="13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2,801.3</w:t>
            </w:r>
          </w:p>
        </w:tc>
        <w:tc>
          <w:tcPr>
            <w:tcW w:w="16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2,950.4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3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2,719.0</w:t>
            </w:r>
          </w:p>
        </w:tc>
        <w:tc>
          <w:tcPr>
            <w:tcW w:w="16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2,766.2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3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2,637.2</w:t>
            </w:r>
          </w:p>
        </w:tc>
        <w:tc>
          <w:tcPr>
            <w:tcW w:w="16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2,612.3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year</w:t>
            </w:r>
          </w:p>
        </w:tc>
        <w:tc>
          <w:tcPr>
            <w:tcW w:w="3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10,836.9</w:t>
            </w:r>
          </w:p>
        </w:tc>
        <w:tc>
          <w:tcPr>
            <w:tcW w:w="162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11,135.1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for 2024 was $2,686.5 million compared to gross profit of $2,705.5 million for 2023. The change was primarily attributable to lower input costs of approximately $260 million; productivity gains of approximately $151 million, partially offset by the unfavorable net impact of price and product mix of approximately $382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2024 were $1,984.8 million compared to $2,119.7 million for 2023. The change was primarily attributable to lower legal settlements, reserves and fees of approximately $78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 and indefinite-lived intangibles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Impairment of goodwill and indefinite-lived intangibles for 2024 was $8.2 million compared to $877.7 million for 2023. During the fourth quarter of 2024, the Company compared the estimated fair values of its indefinite-lived intangible to their carrying values and determined that there was an impairment charge in Global Ceramic. In 2023, the Company recorded impairment charges as a result of a decrease in the Company’s market capitalization,a higher WACC and macroeconomic conditions. See Note 7,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of the notes to the Consolidated Financial Statements included in Part II, Item 8 of the Company’s Form 10-K for the fiscal year ended December 31, 2024, for further discussion of the Company’s impairment charges.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2024 was $693.5 million compared to operating loss of $291.9 million for 2023. The change was primarily attributable to lower impairment charges to reduce the carrying amount of goodwill and indefinite-lived intangibles of approximately $870 million; lower input costs of approximately $214 million; productivity gains of approximately $176 million; lower legal settlements, reserves and fees of approximately $78 million, partially offset by the unfavorable net impact of price and product mix of approximately $385 million.</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Global Ceramic</w:t>
      </w:r>
      <w:r>
        <w:rPr>
          <w:rFonts w:ascii="Times New Roman" w:cs="Times New Roman" w:eastAsia="Times New Roman" w:hAnsi="Times New Roman"/>
          <w:sz w:val="18"/>
          <w:szCs w:val="18"/>
          <w:color w:val="auto"/>
        </w:rPr>
        <w:t>—Operating income was $249.5 million for 2024 compared to operating loss of $166.4 million for 2023. The change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lower impairment charges to reduce the carrying amount of goodwill and indefinite-lived intangibles of approximately $419 million; productivity gains of approximately $67 million; lower input costs of approximately $50 million, partially offset by the unfavorable net impact of price and product mix of approximately $92 million.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Flooring NA</w:t>
      </w:r>
      <w:r>
        <w:rPr>
          <w:rFonts w:ascii="Times New Roman" w:cs="Times New Roman" w:eastAsia="Times New Roman" w:hAnsi="Times New Roman"/>
          <w:sz w:val="18"/>
          <w:szCs w:val="18"/>
          <w:color w:val="auto"/>
        </w:rPr>
        <w:t>—Operating income was $237.3 million for 2024 compared to operating loss of $61.3 million for 2023. The change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lower impairment charges to reduce the carrying amount of goodwill and indefinite-lived intangibles of approximately $216 million; lower input costs of approximately $93 million; productivity gains of approximately $67 million, partially offset by the unfavorable net impact of price and product mix of approximately $109 million.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Flooring ROW</w:t>
      </w:r>
      <w:r>
        <w:rPr>
          <w:rFonts w:ascii="Times New Roman" w:cs="Times New Roman" w:eastAsia="Times New Roman" w:hAnsi="Times New Roman"/>
          <w:sz w:val="18"/>
          <w:szCs w:val="18"/>
          <w:color w:val="auto"/>
        </w:rPr>
        <w:t>—Operating income was $265.2 million for 2024 compared to operating income of $69.7 million for 2023. The change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lower impairment charges to reduce the carrying amount of goodwill and indefinite-lived intangibles of approximately $235 million; lower input costs of approximately $80 million; productivity gains of approximately $41 million, partially offset by the unfavorable net impact of price and product mix of approximately $184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was $48.5 million for 2024 compared to interest expense of $77.5 million for 2023. The change was primarily attributable to strong cash flow and the resulting lower debt level.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 net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expense was $2.0 million for 2024 compared to other income of $5.4 million for 2023. Other income and expense, net did not significantly change for the twelve months ended December 31, 2024, from twelve months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For 2024, the Company recorded income tax expense of $128.2 million on income before income taxes of $643.0 million for an effective tax rate of 19.9%, as compared to an income tax expense of $84.9 million on loss before income taxes of $364.0 million, resulting in an effective tax rate of (23.3)% for 2023. The change in the effective tax rate was primarily driven by a shift from a loss before income taxes to earnings before income taxes and a decrease in the impairment of non-deductible goodwill.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primary capital requirements are for working capital, capital expenditures and acquisitions. The Company’s capital needs are met primarily through a combination of internally generated funds, commercial paper, bank credit lines, term and senior notes and credit terms from suppliers. As of December 31, 2025, the Company had a total of $1,317.5 million available under its Senior Credit Facility. The Company also maintains local currency revolving lines of credit and other credit facilities to provide liquidity to its businesses around the world. None of such local facilities are material in amount.</w:t>
      </w:r>
    </w:p>
    <w:p>
      <w:pPr>
        <w:spacing w:after="0" w:line="21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2025 was $1,056.2 million, compared to net cash provided by operating activities of $1,133.9 million for the year ended December 31, 2024. The change was primarily attributable to lower net earnings; the change in deferred income taxes, partially offset by the change in inventory; higher restructuring, and the change in accounts receivable.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$441.9 million compared to net cash used in investing activities of $454.4 million for the year ended December 31, 2024. The net cash used in investing activities for the year ended December 31, 2025 did not significantly change from the net cash used in investing activities for the year ended December 31, 2024.</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2025 was $470.0 million compared to net cash used in financing activities of $629.5 million for the year ended December 31, 2024. The change was primarily attributable to prior year payments of term loan facility of $912.3 million; higher net proceeds from the Senior Credit Facility of $65.4 million, partially offset by the lower net proceeds from commercial paper of $821.1 million (year to date net repayment of $283.7 million in 2025 as compared to net proceeds of $537.3 million in 2024) and higher share repurchase of $13.0 million.</w:t>
      </w:r>
    </w:p>
    <w:p>
      <w:pPr>
        <w:spacing w:after="0" w:line="19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July 24, 2025, the Company’s Board of Directors approved a new share repurchase program, authorizing the Company to repurchase up to $500 million of its common stock (the “2025 Share Repurchase Program”). On February 10, 2022, the Company’s Board of Directors approved a share repurchases authorization in the amount of $500 million (the “2022 Share Repurchase Program,” and together with the 2025 Share Repurchase Program, the “Share Repurchase Programs”). For the three months ended December 31, 2025, the Company purchased $40.7 million of its common stock under the Share Repurchase Programs. As of December 31, 2025, there remained $419.3 million authorized under the 2025 Share Repurchase Program. The 2022 Share Repurchase Program was completed in the quarter ended September 27, 2025.</w:t>
      </w:r>
    </w:p>
    <w:p>
      <w:pPr>
        <w:spacing w:after="0" w:line="2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cash of $856.1 million, of which $370.8 million was held outside the U.S. The Company plans to permanently reinvest the cash held outside the U.S. The Company believes that its cash and cash equivalents, cash generated from operations, and availability under its Senior Credit Facility will be sufficient to meet its planned capital expenditures, working capital investments and debt servicing requirements over the next twelve months.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31, 2024, the Company prepaid the entirety of the USD portion of the Term Loan Facility, in the amount of $675.0 million. On February 16, 2024, the Company prepaid the entirety of the EUR portion of the Term Loan Facility, in the amount of €220 million.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of the notes to the Consolidated Financial Statements included in Part II, Item 8 of this Form 10-K for further discussion of the Company’s long-term debt. The Company may continue, from time to time, to retire its outstanding debt through cash purchases in the open market, privately negotiated transactions or otherwise. Such repurchases, if any, will depend on prevailing market conditions, the Company’s liquidity requirements, contractual restrictions and other factors. The amount involved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future minimum payments under contractual obligations and commitments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Contractual Obligations and Commitments:</w:t>
            </w:r>
          </w:p>
        </w:tc>
        <w:tc>
          <w:tcPr>
            <w:tcW w:w="340" w:type="dxa"/>
            <w:vAlign w:val="bottom"/>
          </w:tcPr>
          <w:p>
            <w:pPr>
              <w:spacing w:after="0"/>
              <w:rPr>
                <w:sz w:val="16"/>
                <w:szCs w:val="16"/>
                <w:color w:val="auto"/>
              </w:rPr>
            </w:pP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2026</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2027</w:t>
            </w: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2028</w:t>
            </w: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2029</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2030</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Thereafter</w:t>
            </w:r>
          </w:p>
        </w:tc>
        <w:tc>
          <w:tcPr>
            <w:tcW w:w="0" w:type="dxa"/>
            <w:vAlign w:val="bottom"/>
          </w:tcPr>
          <w:p>
            <w:pPr>
              <w:spacing w:after="0"/>
              <w:rPr>
                <w:sz w:val="1"/>
                <w:szCs w:val="1"/>
                <w:color w:val="auto"/>
              </w:rPr>
            </w:pPr>
          </w:p>
        </w:tc>
      </w:tr>
      <w:tr>
        <w:trPr>
          <w:trHeight w:val="23"/>
        </w:trPr>
        <w:tc>
          <w:tcPr>
            <w:tcW w:w="3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Long-term debt, including current maturities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2,036.8</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289.3</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607.3</w:t>
            </w:r>
          </w:p>
        </w:tc>
        <w:tc>
          <w:tcPr>
            <w:tcW w:w="11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615.8</w:t>
            </w:r>
          </w:p>
        </w:tc>
        <w:tc>
          <w:tcPr>
            <w:tcW w:w="1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505.5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payments on long-term debt and finance</w:t>
            </w:r>
          </w:p>
        </w:tc>
        <w:tc>
          <w:tcPr>
            <w:tcW w:w="340" w:type="dxa"/>
            <w:vAlign w:val="bottom"/>
          </w:tcPr>
          <w:p>
            <w:pPr>
              <w:spacing w:after="0"/>
              <w:rPr>
                <w:sz w:val="15"/>
                <w:szCs w:val="15"/>
                <w:color w:val="auto"/>
              </w:rPr>
            </w:pPr>
          </w:p>
        </w:tc>
        <w:tc>
          <w:tcPr>
            <w:tcW w:w="104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223.3</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leases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74.8</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65.4</w:t>
            </w:r>
          </w:p>
        </w:tc>
        <w:tc>
          <w:tcPr>
            <w:tcW w:w="11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54.5</w:t>
            </w: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18.8</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485.8</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151.7</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117.9</w:t>
            </w:r>
          </w:p>
        </w:tc>
        <w:tc>
          <w:tcPr>
            <w:tcW w:w="11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85.1</w:t>
            </w:r>
          </w:p>
        </w:tc>
        <w:tc>
          <w:tcPr>
            <w:tcW w:w="1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49.3</w:t>
            </w:r>
          </w:p>
        </w:tc>
        <w:tc>
          <w:tcPr>
            <w:tcW w:w="10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32.8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commitments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247.8</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172.3</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35.5</w:t>
            </w:r>
          </w:p>
        </w:tc>
        <w:tc>
          <w:tcPr>
            <w:tcW w:w="11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19.8</w:t>
            </w: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6.8</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Expected pension contributions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4.3</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4.3</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Uncertain tax positions </w:t>
            </w:r>
            <w:r>
              <w:rPr>
                <w:rFonts w:ascii="Times New Roman" w:cs="Times New Roman" w:eastAsia="Times New Roman" w:hAnsi="Times New Roman"/>
                <w:sz w:val="23"/>
                <w:szCs w:val="23"/>
                <w:color w:val="auto"/>
                <w:vertAlign w:val="superscript"/>
              </w:rPr>
              <w:t>(5)</w:t>
            </w:r>
          </w:p>
        </w:tc>
        <w:tc>
          <w:tcPr>
            <w:tcW w:w="340" w:type="dxa"/>
            <w:vAlign w:val="bottom"/>
          </w:tcPr>
          <w:p>
            <w:pPr>
              <w:spacing w:after="0"/>
              <w:rPr>
                <w:sz w:val="19"/>
                <w:szCs w:val="19"/>
                <w:color w:val="auto"/>
              </w:rPr>
            </w:pP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20.6</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20.6</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Guarantees </w:t>
            </w:r>
            <w:r>
              <w:rPr>
                <w:rFonts w:ascii="Times New Roman" w:cs="Times New Roman" w:eastAsia="Times New Roman" w:hAnsi="Times New Roman"/>
                <w:sz w:val="23"/>
                <w:szCs w:val="23"/>
                <w:color w:val="auto"/>
                <w:vertAlign w:val="superscript"/>
              </w:rPr>
              <w:t>(6)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92.3</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92.3</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3,110.9</w:t>
            </w:r>
          </w:p>
        </w:tc>
        <w:tc>
          <w:tcPr>
            <w:tcW w:w="10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805.3</w:t>
            </w:r>
          </w:p>
        </w:tc>
        <w:tc>
          <w:tcPr>
            <w:tcW w:w="10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826.1</w:t>
            </w:r>
          </w:p>
        </w:tc>
        <w:tc>
          <w:tcPr>
            <w:tcW w:w="11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775.2</w:t>
            </w: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85.2</w:t>
            </w: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554.4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Debt maturity table excludes deferred loan costs.</w:t>
      </w:r>
    </w:p>
    <w:p>
      <w:pPr>
        <w:spacing w:after="0" w:line="68" w:lineRule="exact"/>
        <w:rPr>
          <w:rFonts w:ascii="Times New Roman" w:cs="Times New Roman" w:eastAsia="Times New Roman" w:hAnsi="Times New Roman"/>
          <w:sz w:val="9"/>
          <w:szCs w:val="9"/>
          <w:color w:val="auto"/>
        </w:rPr>
      </w:pPr>
    </w:p>
    <w:p>
      <w:pPr>
        <w:ind w:right="20" w:firstLine="8"/>
        <w:spacing w:after="0" w:line="299" w:lineRule="auto"/>
        <w:tabs>
          <w:tab w:leader="none" w:pos="146"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fixed-rate debt, the Company calculated interest based on the applicable rates and payment dates. For variable-rate debt, the Company estimated average outstanding balances for the respective periods and applied interest rates in effect as of December 31, 2025 to these balances.</w:t>
      </w:r>
    </w:p>
    <w:p>
      <w:pPr>
        <w:spacing w:after="0" w:line="3"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volume commitments, primarily for raw material purchases.</w:t>
      </w:r>
    </w:p>
    <w:p>
      <w:pPr>
        <w:spacing w:after="0" w:line="59" w:lineRule="exact"/>
        <w:rPr>
          <w:rFonts w:ascii="Times New Roman" w:cs="Times New Roman" w:eastAsia="Times New Roman" w:hAnsi="Times New Roman"/>
          <w:sz w:val="16"/>
          <w:szCs w:val="16"/>
          <w:color w:val="auto"/>
          <w:vertAlign w:val="superscript"/>
        </w:rPr>
      </w:pPr>
    </w:p>
    <w:p>
      <w:pPr>
        <w:jc w:val="both"/>
        <w:ind w:firstLine="8"/>
        <w:spacing w:after="0" w:line="441" w:lineRule="auto"/>
        <w:tabs>
          <w:tab w:leader="none" w:pos="132"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Includes the estimated pension contributions for 2026 only, as the Company is unable to estimate the pension contributions beyond 2026. The Company’s projected benefit obligation and plan assets as of December 31, 2025, were $93.3 and $88.0, respectively. The projected benefit obligation liability has not been presented in the table above due to uncertainty as to amounts and timing regarding future payments.</w:t>
      </w:r>
    </w:p>
    <w:p>
      <w:pPr>
        <w:spacing w:after="0" w:line="3" w:lineRule="exact"/>
        <w:rPr>
          <w:rFonts w:ascii="Times New Roman" w:cs="Times New Roman" w:eastAsia="Times New Roman" w:hAnsi="Times New Roman"/>
          <w:sz w:val="15"/>
          <w:szCs w:val="15"/>
          <w:color w:val="auto"/>
          <w:vertAlign w:val="superscript"/>
        </w:rPr>
      </w:pPr>
    </w:p>
    <w:p>
      <w:pPr>
        <w:ind w:firstLine="8"/>
        <w:spacing w:after="0" w:line="322" w:lineRule="auto"/>
        <w:tabs>
          <w:tab w:leader="none" w:pos="132"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Excludes $105.8 of non-current accrued income tax liabilities and related interest and penalties for uncertain tax positions. These liabilities have not been presented in the table above due to uncertainty as to amounts and timing regarding future payments.</w:t>
      </w:r>
    </w:p>
    <w:p>
      <w:pPr>
        <w:spacing w:after="0" w:line="3" w:lineRule="exact"/>
        <w:rPr>
          <w:rFonts w:ascii="Times New Roman" w:cs="Times New Roman" w:eastAsia="Times New Roman" w:hAnsi="Times New Roman"/>
          <w:sz w:val="15"/>
          <w:szCs w:val="15"/>
          <w:color w:val="auto"/>
          <w:vertAlign w:val="superscript"/>
        </w:rPr>
      </w:pPr>
    </w:p>
    <w:p>
      <w:pPr>
        <w:ind w:left="140" w:hanging="132"/>
        <w:spacing w:after="0"/>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bank guarantees and letters of credit.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generally accepted accounting principles, the Company must make decisions which impact the reported amounts of assets, liabilities, revenues and expenses, and related disclosures. Such decisions include the selection of appropriate accounting principles to be applied and the assumptions on which to base accounting estimates. In reaching such decisions, the Company applies judgment based on its understanding and analysis of the relevant circumstances and historical experience. Actual amounts could differ from those estimated at the time the Consolidated Financial Statements are prepared.</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to the Consolidated Financial Statements included in Part II, Item 8 of this Form 10-K. Some of those significant accounting policies require the Company to make subjective or complex judgments or estimates. Critical accounting estimates are defined as those that are both most important to the portrayal of a company’s financial condition and results and require management’s most difficult, subjective, or complex judgment, often as a result of the need to make estimates about the effect of matters that are inherently uncertain and may change in subsequent periods.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the following accounting policies require it to use judgments and estimates in preparing its consolidated financial statements and represent critical accounting policies.</w:t>
      </w:r>
    </w:p>
    <w:p>
      <w:pPr>
        <w:spacing w:after="0" w:line="106" w:lineRule="exact"/>
        <w:rPr>
          <w:sz w:val="20"/>
          <w:szCs w:val="20"/>
          <w:color w:val="auto"/>
        </w:rPr>
      </w:pPr>
    </w:p>
    <w:p>
      <w:pPr>
        <w:jc w:val="both"/>
        <w:ind w:left="660" w:hanging="328"/>
        <w:spacing w:after="0" w:line="25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accounting. </w:t>
      </w:r>
      <w:r>
        <w:rPr>
          <w:rFonts w:ascii="Times New Roman" w:cs="Times New Roman" w:eastAsia="Times New Roman" w:hAnsi="Times New Roman"/>
          <w:sz w:val="18"/>
          <w:szCs w:val="18"/>
          <w:color w:val="auto"/>
        </w:rPr>
        <w:t>The fair value of the consideration the Company pays for each new acquisition is allocated to tangible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identifiable intangible assets, liabilities assumed, any noncontrolling interest in the acquired entity and goodwill. The accounting for acquisitions involves a considerable amount of judgment and estimate, including the fair value of certain forms of consideration; fair value of acquired intangible assets involving projections of future revenues and cash flows that are then either discounted at an estimated discount rate or measured at an estimated royalty rate; fair value of other acquired assets and assumed liabilities, including potential contingencies; and the useful lives of the acquired assets. The assumptions used are determined at the time of the acquisition in accordance with accepted valuation models. Projections are developed using internal forecasts, available industry and market data and estimates of long-term rates of growth for the business. The impact of prior or future acquisitions on the Company’s financial position or results of operations may be materially impacted by the change in or initial selection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00" w:lineRule="exact"/>
        <w:rPr>
          <w:sz w:val="20"/>
          <w:szCs w:val="20"/>
          <w:color w:val="auto"/>
        </w:rPr>
      </w:pPr>
    </w:p>
    <w:p>
      <w:pPr>
        <w:spacing w:after="0" w:line="229" w:lineRule="exact"/>
        <w:rPr>
          <w:sz w:val="20"/>
          <w:szCs w:val="20"/>
          <w:color w:val="auto"/>
        </w:rPr>
      </w:pPr>
    </w:p>
    <w:p>
      <w:pPr>
        <w:ind w:left="660" w:right="20"/>
        <w:spacing w:after="0" w:line="284" w:lineRule="auto"/>
        <w:rPr>
          <w:sz w:val="20"/>
          <w:szCs w:val="20"/>
          <w:color w:val="auto"/>
        </w:rPr>
      </w:pPr>
      <w:r>
        <w:rPr>
          <w:rFonts w:ascii="Times New Roman" w:cs="Times New Roman" w:eastAsia="Times New Roman" w:hAnsi="Times New Roman"/>
          <w:sz w:val="18"/>
          <w:szCs w:val="18"/>
          <w:color w:val="auto"/>
        </w:rPr>
        <w:t xml:space="preserve">of assumptions and estimates. See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included in Part II, Item 8 of this Form 10-K for further discussion of business combination accounting valuation methodology and assumptions.</w:t>
      </w:r>
    </w:p>
    <w:p>
      <w:pPr>
        <w:spacing w:after="0" w:line="172" w:lineRule="exact"/>
        <w:rPr>
          <w:sz w:val="20"/>
          <w:szCs w:val="20"/>
          <w:color w:val="auto"/>
        </w:rPr>
      </w:pPr>
    </w:p>
    <w:p>
      <w:pPr>
        <w:jc w:val="both"/>
        <w:ind w:left="660" w:hanging="328"/>
        <w:spacing w:after="0" w:line="230" w:lineRule="auto"/>
        <w:tabs>
          <w:tab w:leader="none" w:pos="659"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 xml:space="preserve">Goodwill and other intangibles. </w:t>
      </w:r>
      <w:r>
        <w:rPr>
          <w:rFonts w:ascii="Times New Roman" w:cs="Times New Roman" w:eastAsia="Times New Roman" w:hAnsi="Times New Roman"/>
          <w:sz w:val="18"/>
          <w:szCs w:val="18"/>
          <w:color w:val="auto"/>
        </w:rPr>
        <w:t>In accordance with the provisions of the FASB ASC Topic 350, Intangibles-Goodwill and Other,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tests goodwill and other intangible assets with indefinite lives, which for the Company are tradenames, for impairment on an annual basis on the first day of the fourth quarter (or on an interim basis if a triggering event occurs that might reduce the fair value of the reporting unit below its carrying value). Such triggering events or circumstances could include a significant change in the business climate, legal factors, operating performance or trends, competition, or sale or disposition of a significant portion of a reporting unit.</w:t>
      </w:r>
    </w:p>
    <w:p>
      <w:pPr>
        <w:spacing w:after="0" w:line="198" w:lineRule="exact"/>
        <w:rPr>
          <w:rFonts w:ascii="Times New Roman" w:cs="Times New Roman" w:eastAsia="Times New Roman" w:hAnsi="Times New Roman"/>
          <w:sz w:val="15"/>
          <w:szCs w:val="15"/>
          <w:color w:val="auto"/>
        </w:rPr>
      </w:pPr>
    </w:p>
    <w:p>
      <w:pPr>
        <w:ind w:left="660" w:right="420"/>
        <w:spacing w:after="0" w:line="25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2025, the Company did not perform impairment tests at an interim date as no triggering events or circumstances were identified that might reduce the fair value of the reporting unit below its carrying value.</w:t>
      </w:r>
    </w:p>
    <w:p>
      <w:pPr>
        <w:spacing w:after="0" w:line="189" w:lineRule="exact"/>
        <w:rPr>
          <w:rFonts w:ascii="Times New Roman" w:cs="Times New Roman" w:eastAsia="Times New Roman" w:hAnsi="Times New Roman"/>
          <w:sz w:val="15"/>
          <w:szCs w:val="15"/>
          <w:color w:val="auto"/>
        </w:rPr>
      </w:pPr>
    </w:p>
    <w:p>
      <w:pPr>
        <w:jc w:val="both"/>
        <w:ind w:left="660"/>
        <w:spacing w:after="0" w:line="24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goodwill impairment tests are based on determining the fair value of the specified reporting units relying on management judgments and assumptions using the discounted cash flows under the income approach classified in Level 3 of the fair value hierarchy and comparable company market valuation classified in Level 2 of the fair value hierarchy. Indefinite-lived intangibles are recorded and tested for impairment at the asset level. The valuation approaches are subject to key judgments and assumptions that are sensitive to change, such as judgments and assumptions about appropriate sales growth rates, operating margins, Weighted Average Cost of Capital (“WACC”), capital expenditures and comparable company market multiples.</w:t>
      </w:r>
    </w:p>
    <w:p>
      <w:pPr>
        <w:spacing w:after="0" w:line="210" w:lineRule="exact"/>
        <w:rPr>
          <w:rFonts w:ascii="Times New Roman" w:cs="Times New Roman" w:eastAsia="Times New Roman" w:hAnsi="Times New Roman"/>
          <w:sz w:val="15"/>
          <w:szCs w:val="15"/>
          <w:color w:val="auto"/>
        </w:rPr>
      </w:pPr>
    </w:p>
    <w:p>
      <w:pPr>
        <w:jc w:val="both"/>
        <w:ind w:left="660"/>
        <w:spacing w:after="0" w:line="23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 has identified Global Ceramic, Flooring NA and Flooring ROW as its reporting units for the purposes of allocating and testing for impairment. The Company completed quantitative goodwill impairment tests for the Flooring NA and Flooring ROW reporting units in 2025. In determining the fair value of the reporting units, the Company used both an income approach and market approach to estimate the fair value of the reporting units, and with both approaches weighted equally when determining the estimated fair value. The Company engaged a third-party valuation specialist to assist in developing these estimated and valuation approaches.</w:t>
      </w:r>
    </w:p>
    <w:p>
      <w:pPr>
        <w:spacing w:after="0" w:line="211" w:lineRule="exact"/>
        <w:rPr>
          <w:rFonts w:ascii="Times New Roman" w:cs="Times New Roman" w:eastAsia="Times New Roman" w:hAnsi="Times New Roman"/>
          <w:sz w:val="15"/>
          <w:szCs w:val="15"/>
          <w:color w:val="auto"/>
        </w:rPr>
      </w:pPr>
    </w:p>
    <w:p>
      <w:pPr>
        <w:jc w:val="both"/>
        <w:ind w:left="1300" w:hanging="320"/>
        <w:spacing w:after="0" w:line="231" w:lineRule="auto"/>
        <w:tabs>
          <w:tab w:leader="none" w:pos="12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income approach, estimated future discounted cash flows were used to estimate the fair value of the reporting unit. The income approach required the Company’s management to make certain market participant key assumptions such as growth rates, operating margins, and WACC and capital expenditures.</w:t>
      </w:r>
    </w:p>
    <w:p>
      <w:pPr>
        <w:spacing w:after="0" w:line="198"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market approach, the Company estimated the fair value of a reporting unit based on market multiples of earnings for benchmark companies that have similar risks, participate in similar markets and compete with the Company directly.</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31" w:lineRule="auto"/>
        <w:tabs>
          <w:tab w:leader="none" w:pos="12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multiples were selected based on a financial benchmarking analysis that compared each reporting unit’s operating results with the comparable companies’ information. In addition to these financial considerations, qualitative factors such as variations in growth opportunities and overall risk among the benchmark companies were considered in the ultimate selection of the multiple.</w:t>
      </w:r>
    </w:p>
    <w:p>
      <w:pPr>
        <w:spacing w:after="0" w:line="199"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8"/>
          <w:szCs w:val="18"/>
          <w:color w:val="auto"/>
        </w:rPr>
        <w:t>In order to corroborate the estimated fair value conclusions of the Company’s reporting units, the Company combined the estimated fair values for all reporting units and performed a market capitalization reconciliation to assess the reasonableness of the implied control premium. The Company also compared its market capitalization to net book value of equity to assess the implied control premium for reasonableness. The Company also applied sensitivities to assumptions and inputs used in measuring the reporting unit’s fair value to address estimation uncertainty.</w:t>
      </w:r>
    </w:p>
    <w:p>
      <w:pPr>
        <w:spacing w:after="0" w:line="19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The Company has not made any material changes to the valuation methodology utilized to assess goodwill impairment since the date of its last annual impairment test, which is the first day of the fourth quarter of 2025.</w:t>
      </w:r>
    </w:p>
    <w:p>
      <w:pPr>
        <w:spacing w:after="0" w:line="190"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The Company determined the fair value of each of its reporting units exceeded their respective carrying values as of the date of its last annual impairment test.</w:t>
      </w:r>
    </w:p>
    <w:p>
      <w:pPr>
        <w:spacing w:after="0" w:line="190"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As of October 28, 2025, the fair value of the FNA reporting unit exceeded its carrying value by more than 15%, and the fair value of the Flooring ROW reporting unit exceeded its carrying value by less than 15%.</w:t>
      </w:r>
    </w:p>
    <w:p>
      <w:pPr>
        <w:spacing w:after="0" w:line="20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A 50 basis point increase to the discount rate used in the income approach valuation, assuming no changes to the market approach or other factors used in the impairment test, would reduce the estimated fair value of the Flooring ROW reporting unit by approximately $92 million, and the reporting unit's fair value would continue to exceed its carrying value by more than 8%.</w:t>
      </w:r>
    </w:p>
    <w:p>
      <w:pPr>
        <w:spacing w:after="0" w:line="204"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Company will continue to monitor the performance of the reporting units to ensure no interim indications of possible impairment have occurred before the next annual goodwill impairment assessment at the beginning of the fourth quarter of 2026.</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00" w:lineRule="exact"/>
        <w:rPr>
          <w:sz w:val="20"/>
          <w:szCs w:val="20"/>
          <w:color w:val="auto"/>
        </w:rPr>
      </w:pPr>
    </w:p>
    <w:p>
      <w:pPr>
        <w:spacing w:after="0" w:line="229" w:lineRule="exact"/>
        <w:rPr>
          <w:sz w:val="20"/>
          <w:szCs w:val="20"/>
          <w:color w:val="auto"/>
        </w:rPr>
      </w:pPr>
    </w:p>
    <w:p>
      <w:pPr>
        <w:jc w:val="both"/>
        <w:ind w:left="660" w:hanging="328"/>
        <w:spacing w:after="0" w:line="25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Long-lived assets</w:t>
      </w:r>
      <w:r>
        <w:rPr>
          <w:rFonts w:ascii="Times New Roman" w:cs="Times New Roman" w:eastAsia="Times New Roman" w:hAnsi="Times New Roman"/>
          <w:sz w:val="18"/>
          <w:szCs w:val="18"/>
          <w:color w:val="auto"/>
        </w:rPr>
        <w:t>. The Company reviews its long-lived asset groups, which include intangible assets subject to amortization, which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are its patents and customer relationships, for impairment whenever events or changes in circumstances indicate that the carrying amount of such asset groups may not be recoverable. Recoverability of asset groups to be held and used is measured by a comparison of the carrying amount of long-lived assets to future undiscounted net cash flows expected to be generated by these asset groups. If such asset groups are considered to be impaired, the impairment recognized is the amount by which the carrying amount of the asset group exceeds the fair value of the asset group. Assets held for sale are reported at the lower of the carrying amount or fair value less estimated costs of disposal and are no longer depreciated.</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Company’s effective tax rate is based on its income, statutory tax rates and tax planning opportunities available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jurisdictions in which it operates. Tax laws are complex and subject to different interpretations by the taxpayer and respective governmental taxing authorities. Significant judgment is required in determining the Company’s tax expense and in evaluating the Company’s tax positions. Deferred tax assets represent amounts available to reduce income taxes payable on taxable income in a future period. The Company evaluates the recoverability of these future tax benefits by assessing the adequacy of future expected taxable income from all sources, including reversal of taxable temporary differences, forecasted operating earnings and available tax planning strategies. These sources of income inherently rely on estimates, including business forecasts and other projections of financial results over an extended period of time. In the event that the Company is not able to realize all or a portion of its deferred tax assets in the future, a valuation allowance is provided. The Company would recognize such amounts through a charge to income in the period in which that determination is made or when tax law changes are enacted. For further information regarding the Company’s valuation allowances, see Note 14,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included in Part II, Item 8 of this Form 10-K.</w:t>
      </w:r>
    </w:p>
    <w:p>
      <w:pPr>
        <w:spacing w:after="0" w:line="133"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ordinary course of business there is inherent uncertainty in quantifying the Company’s income tax positions. The Company assesses its income tax positions and records tax benefits for all years subject to examination based upon the Company’s evaluation of the facts, circumstances and information available as of the reporting date. For those tax positions where it is more likely than not that a tax benefit will be sustained, the Company has recorded the largest amount of tax benefit with a greater than 50% likelihood of being realized upon ultimate settlement with a taxing authority that has full knowledge of all relevant information, as required by the provisions of the Financial Accounting Standards Board (“FASB”) Accounting Standards Codification (“ASC”) Topic 740-10. For those income tax positions where it is not more likely than not that a tax benefit will be sustained, no tax benefit has been recognized in the Consolidated Financial Statements. For further information regarding the Company’s uncertain tax positions, see Note 14,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included in Part II, Item 8 of this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Company’s accompanying Consolidated Financial Statements in Part II, Item 8 of this Form 10-K for a description of recent accounting pronouncements and the potential impact on the Company’s financial statements and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Inflation affects the Company’s manufacturing costs, distribution costs and operating expenses. The Company expects raw material prices, many of which are petroleum-based, to fluctuate based upon worldwide supply and demand of commodities used in the Company’s production processes. Although the Company attempts to pass on increases in raw material, labor, energy and fuel-related costs to its customers, the Company’s ability to do so is dependent upon the rate and magnitude of any increase, competitive pressures and market conditions for the Company’s products. There have been in the past, and may be in the future, periods of time during which increases in these costs cannot be fully recovered. In the past, the Company has often been able to enhance productivity and develop new product innovations to help offset increases in costs resulting from inflation in its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 calendar year-end company. Global Ceramic and Flooring NA typically have higher net sales in the second and third quarters. Flooring ROW typically has higher net sales in the first and second quarters. Because periods of economic downturn can affect the seasonality of each segment, sales for any one quarter are not necessarily indicative of the sales that may be achieved for any other quarter or for the full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market risk is impacted by changes in foreign currency exchange rates, interest rates and certain commodity prices. Financial exposures to these risks are monitored as an integral part of the Company’s risk management program, which seeks to reduce the potentially adverse effect that the volatility of these markets may have on its operating results. The Company does not regularly engage in speculative transactions, nor does it regularly hold or issue financial instruments for trading purposes. The Company did not have any derivative contracts outstanding as of December 31, 2025, and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approximately 87% of the Company’s debt portfolio was comprised of fixed-rate debt and 13% was variable-rate debt. The Company believes that probable near-term changes in interest rates would not materially affect its financial condition, results of operations or cash flows. The annual impact on interest expense of a one-percentage point interest rate change on the outstanding balance of the Company’s variable-rate debt as of December 31, 2025, would be approximately $3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being a global enterprise, there is exposure to market risks from changes in foreign currency exchange rates, which may adversely affect the operating results and financial condition of the Company. Principal foreign currency exposures relate primarily to the euro and to a lesser extent the Russian ruble, the Brazilian real, the Mexican peso, the British pound, the Australian dollar and the Bulgarian lev.</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objective is to balance, where possible, non-functional currency denominated assets to non-functional currency denominated liabilities to have a natural hedge and minimize foreign exchange impacts. The Company enters into cross border transactions through importing and exporting goods to and from different countries and locations. These transactions generate foreign exchange risk as they create assets, liabilities and cash flows in currencies other than the transacting entity’s functional currency. This also applies to services provided and other cross border agreements among subsidiaries.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takes steps to minimize risks from foreign currency exchange rate fluctuations through normal operating and financing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enter into any speculative positions with regard to derivative instruments.</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Based on financial results for the year ended December 31, 2025, a hypothetical overall 10 % change in the U.S. dollar against all foreign currencies would have resulted in a translational adjustment of approximately $38 million. The effect of a uniform movement of all currencies by 10% is provided to illustrate a hypothetical scenario and related effect on operating income. Actual results will differ as foreign currencies may move in uniform or different directions and in different magnitudes.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Consolidated Financial Statements and Supplementary Data</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0" w:type="dxa"/>
            <w:vAlign w:val="bottom"/>
            <w:gridSpan w:val="7"/>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769"/>
        </w:trPr>
        <w:tc>
          <w:tcPr>
            <w:tcW w:w="20" w:type="dxa"/>
            <w:vAlign w:val="bottom"/>
          </w:tcPr>
          <w:p>
            <w:pPr>
              <w:spacing w:after="0"/>
              <w:rPr>
                <w:sz w:val="24"/>
                <w:szCs w:val="24"/>
                <w:color w:val="auto"/>
              </w:rPr>
            </w:pPr>
          </w:p>
        </w:tc>
        <w:tc>
          <w:tcPr>
            <w:tcW w:w="4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6700" w:type="dxa"/>
            <w:vAlign w:val="bottom"/>
            <w:gridSpan w:val="5"/>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1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w:t>
            </w:r>
            <w:r>
              <w:rPr>
                <w:rFonts w:ascii="Times New Roman" w:cs="Times New Roman" w:eastAsia="Times New Roman" w:hAnsi="Times New Roman"/>
                <w:sz w:val="18"/>
                <w:szCs w:val="18"/>
                <w:color w:val="000000"/>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2025, 2024 and 202</w:t>
            </w:r>
            <w:r>
              <w:rPr>
                <w:rFonts w:ascii="Times New Roman" w:cs="Times New Roman" w:eastAsia="Times New Roman" w:hAnsi="Times New Roman"/>
                <w:sz w:val="18"/>
                <w:szCs w:val="18"/>
                <w:color w:val="000000"/>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2025 and 202</w:t>
            </w:r>
            <w:r>
              <w:rPr>
                <w:rFonts w:ascii="Times New Roman" w:cs="Times New Roman" w:eastAsia="Times New Roman" w:hAnsi="Times New Roman"/>
                <w:sz w:val="18"/>
                <w:szCs w:val="18"/>
                <w:color w:val="000000"/>
              </w:rPr>
              <w:t>4</w:t>
            </w:r>
          </w:p>
        </w:tc>
        <w:tc>
          <w:tcPr>
            <w:tcW w:w="278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w:t>
            </w:r>
            <w:r>
              <w:rPr>
                <w:rFonts w:ascii="Times New Roman" w:cs="Times New Roman" w:eastAsia="Times New Roman" w:hAnsi="Times New Roman"/>
                <w:sz w:val="18"/>
                <w:szCs w:val="18"/>
                <w:color w:val="000000"/>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5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w:t>
            </w:r>
            <w:r>
              <w:rPr>
                <w:rFonts w:ascii="Times New Roman" w:cs="Times New Roman" w:eastAsia="Times New Roman" w:hAnsi="Times New Roman"/>
                <w:sz w:val="18"/>
                <w:szCs w:val="18"/>
                <w:color w:val="000000"/>
              </w:rPr>
              <w:t>3</w:t>
            </w:r>
          </w:p>
        </w:tc>
        <w:tc>
          <w:tcPr>
            <w:tcW w:w="3480" w:type="dxa"/>
            <w:vAlign w:val="bottom"/>
            <w:gridSpan w:val="2"/>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3420" w:type="dxa"/>
            <w:vAlign w:val="bottom"/>
            <w:tcBorders>
              <w:top w:val="single" w:sz="8" w:color="0000FF"/>
            </w:tcBorders>
            <w:gridSpan w:val="3"/>
          </w:tcPr>
          <w:p>
            <w:pPr>
              <w:spacing w:after="0"/>
              <w:rPr>
                <w:sz w:val="18"/>
                <w:szCs w:val="18"/>
                <w:color w:val="auto"/>
              </w:rPr>
            </w:pPr>
          </w:p>
        </w:tc>
        <w:tc>
          <w:tcPr>
            <w:tcW w:w="4160" w:type="dxa"/>
            <w:vAlign w:val="bottom"/>
            <w:gridSpan w:val="3"/>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40" w:type="dxa"/>
            <w:vAlign w:val="bottom"/>
          </w:tcPr>
          <w:p>
            <w:pPr>
              <w:spacing w:after="0"/>
              <w:rPr>
                <w:sz w:val="18"/>
                <w:szCs w:val="18"/>
                <w:color w:val="auto"/>
              </w:rPr>
            </w:pPr>
          </w:p>
        </w:tc>
      </w:tr>
      <w:tr>
        <w:trPr>
          <w:trHeight w:val="1128"/>
        </w:trPr>
        <w:tc>
          <w:tcPr>
            <w:tcW w:w="686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color w:val="auto"/>
              </w:rPr>
              <w:t>40</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Mohawk Industries,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Mohawk Industries, Inc. and subsidiaries (the Company) as of December 31, 2025 and 2024, the related consolidated statements of operations, comprehensive income (loss),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23, 2026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goodwill for impairment</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discussed in Note 7 to the consolidated financial statements, the goodwill balance as of December 31, 2025 was $1,210.3 million, of which $830.4 million and $379.9 million related to the Flooring Rest of the World and Flooring North America reporting units, respectively. The Company performs goodwill impairment testing on an annual basis and whenever events or changes in circumstances indicate that the carrying value of goodwill might exceed the fair value of a reporting unit.</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identified the assessment of goodwill for impairment as a critical audit matter. Specifically, the assessment of the Company’s forecasted sales growth rates, forecasted margins, capital expenditures, discount rates, and selection of comparable company market multiples used in the Company’s fair value estimation of the reporting units required a higher degree of subjective auditor judgment and required the involvement of valuation professionals. Changes in these assumptions could have a significant impact on the fair value of the reporting units.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goodwill impairment assessment process including controls over the reasonableness of the assumptions listed above. We evaluated the Company’s forecasted sales growth rates, forecasted margins, and capital expenditures and compared the assumptions to the Company’s historical performance and to relevant market data. We also performed sensitivity analyses over certain assumptions listed above to assess their impact on the Company’s determination of the fair value of the reporting units. We involved valuation professionals with specialized skills and knowledge who assisted in evaluating the reporting units’ discount rates and selection of comparable company market multiples by comparing them to a range of discount rates and market multiples for comparable companies that were independently developed using publicly available data.</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Mohawk Industries,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Mohawk Industries, Inc.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20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stockholders’ equity, and cash flows for each of the years in the three-year period ended December 31, 2025, and the related notes (collectively, the consolidated financial statements), and our report dated February 23, 2026 expressed an unqualified opinion on those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MOHAWK INDUSTRIES, INC. AND SUBSIDIARIES</w:t>
      </w:r>
    </w:p>
    <w:p>
      <w:pPr>
        <w:spacing w:after="0" w:line="17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180" w:type="dxa"/>
            <w:vAlign w:val="bottom"/>
          </w:tcPr>
          <w:p>
            <w:pPr>
              <w:spacing w:after="0"/>
              <w:rPr>
                <w:sz w:val="16"/>
                <w:szCs w:val="16"/>
                <w:color w:val="auto"/>
              </w:rPr>
            </w:pPr>
          </w:p>
        </w:tc>
        <w:tc>
          <w:tcPr>
            <w:tcW w:w="14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10,785.4</w:t>
            </w:r>
          </w:p>
        </w:tc>
        <w:tc>
          <w:tcPr>
            <w:tcW w:w="15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10,836.9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11,135.1</w:t>
            </w:r>
          </w:p>
        </w:tc>
      </w:tr>
      <w:tr>
        <w:trPr>
          <w:trHeight w:val="229"/>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8,210.7</w:t>
            </w:r>
          </w:p>
        </w:tc>
        <w:tc>
          <w:tcPr>
            <w:tcW w:w="15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8,150.4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8,429.6</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2,574.7</w:t>
            </w:r>
          </w:p>
        </w:tc>
        <w:tc>
          <w:tcPr>
            <w:tcW w:w="15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2,686.5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2,705.5</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80" w:type="dxa"/>
            <w:vAlign w:val="bottom"/>
          </w:tcPr>
          <w:p>
            <w:pPr>
              <w:spacing w:after="0"/>
              <w:rPr>
                <w:sz w:val="19"/>
                <w:szCs w:val="19"/>
                <w:color w:val="auto"/>
              </w:rPr>
            </w:pPr>
          </w:p>
        </w:tc>
        <w:tc>
          <w:tcPr>
            <w:tcW w:w="14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2,065.0</w:t>
            </w:r>
          </w:p>
        </w:tc>
        <w:tc>
          <w:tcPr>
            <w:tcW w:w="15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1,984.8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2,119.7</w:t>
            </w:r>
          </w:p>
        </w:tc>
      </w:tr>
      <w:tr>
        <w:trPr>
          <w:trHeight w:val="230"/>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indefinite-lived intangibles</w:t>
            </w:r>
          </w:p>
        </w:tc>
        <w:tc>
          <w:tcPr>
            <w:tcW w:w="1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19.9</w:t>
            </w:r>
          </w:p>
        </w:tc>
        <w:tc>
          <w:tcPr>
            <w:tcW w:w="154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8.2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80" w:type="dxa"/>
            <w:vAlign w:val="bottom"/>
          </w:tcPr>
          <w:p>
            <w:pPr>
              <w:spacing w:after="0"/>
              <w:rPr>
                <w:sz w:val="19"/>
                <w:szCs w:val="19"/>
                <w:color w:val="auto"/>
              </w:rPr>
            </w:pPr>
          </w:p>
        </w:tc>
        <w:tc>
          <w:tcPr>
            <w:tcW w:w="14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489.8</w:t>
            </w:r>
          </w:p>
        </w:tc>
        <w:tc>
          <w:tcPr>
            <w:tcW w:w="15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693.5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17.8</w:t>
            </w:r>
          </w:p>
        </w:tc>
        <w:tc>
          <w:tcPr>
            <w:tcW w:w="15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48.5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9"/>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1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3.3</w:t>
            </w:r>
          </w:p>
        </w:tc>
        <w:tc>
          <w:tcPr>
            <w:tcW w:w="15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468.7</w:t>
            </w:r>
          </w:p>
        </w:tc>
        <w:tc>
          <w:tcPr>
            <w:tcW w:w="15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643.0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r>
      <w:tr>
        <w:trPr>
          <w:trHeight w:val="229"/>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98.8</w:t>
            </w:r>
          </w:p>
        </w:tc>
        <w:tc>
          <w:tcPr>
            <w:tcW w:w="15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128.2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including noncontrolling interests</w:t>
            </w:r>
          </w:p>
        </w:tc>
        <w:tc>
          <w:tcPr>
            <w:tcW w:w="1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369.9</w:t>
            </w:r>
          </w:p>
        </w:tc>
        <w:tc>
          <w:tcPr>
            <w:tcW w:w="15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514.8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23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interests</w:t>
            </w:r>
          </w:p>
        </w:tc>
        <w:tc>
          <w:tcPr>
            <w:tcW w:w="1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Mohawk Industries, Inc.</w:t>
            </w: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369.9</w:t>
            </w:r>
          </w:p>
        </w:tc>
        <w:tc>
          <w:tcPr>
            <w:tcW w:w="154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514.7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r>
      <w:tr>
        <w:trPr>
          <w:trHeight w:val="257"/>
        </w:trPr>
        <w:tc>
          <w:tcPr>
            <w:tcW w:w="59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attributable to Mohawk Industries, Inc.</w:t>
            </w:r>
          </w:p>
        </w:tc>
        <w:tc>
          <w:tcPr>
            <w:tcW w:w="1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Mohawk Industries, Inc.</w:t>
            </w: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5.96</w:t>
            </w:r>
          </w:p>
        </w:tc>
        <w:tc>
          <w:tcPr>
            <w:tcW w:w="15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8.13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7"/>
        </w:trPr>
        <w:tc>
          <w:tcPr>
            <w:tcW w:w="59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outstanding—basic</w:t>
            </w:r>
          </w:p>
        </w:tc>
        <w:tc>
          <w:tcPr>
            <w:tcW w:w="1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62.1</w:t>
            </w:r>
          </w:p>
        </w:tc>
        <w:tc>
          <w:tcPr>
            <w:tcW w:w="154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63.3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56"/>
        </w:trPr>
        <w:tc>
          <w:tcPr>
            <w:tcW w:w="59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attributable to Mohawk Industries, Inc.</w:t>
            </w:r>
          </w:p>
        </w:tc>
        <w:tc>
          <w:tcPr>
            <w:tcW w:w="1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Mohawk Industries, Inc.</w:t>
            </w: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5.93</w:t>
            </w:r>
          </w:p>
        </w:tc>
        <w:tc>
          <w:tcPr>
            <w:tcW w:w="15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8.09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6"/>
        </w:trPr>
        <w:tc>
          <w:tcPr>
            <w:tcW w:w="59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outstanding—diluted</w:t>
            </w:r>
          </w:p>
        </w:tc>
        <w:tc>
          <w:tcPr>
            <w:tcW w:w="1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62.4</w:t>
            </w:r>
          </w:p>
        </w:tc>
        <w:tc>
          <w:tcPr>
            <w:tcW w:w="154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63.6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MOHAWK INDUSTRIES, INC. AND SUBSIDIARIES</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Pr>
          <w:p>
            <w:pPr>
              <w:spacing w:after="0"/>
              <w:rPr>
                <w:sz w:val="16"/>
                <w:szCs w:val="16"/>
                <w:color w:val="auto"/>
              </w:rPr>
            </w:pPr>
          </w:p>
        </w:tc>
        <w:tc>
          <w:tcPr>
            <w:tcW w:w="14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including noncontrolling interests</w:t>
            </w:r>
          </w:p>
        </w:tc>
        <w:tc>
          <w:tcPr>
            <w:tcW w:w="7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369.9</w:t>
            </w:r>
          </w:p>
        </w:tc>
        <w:tc>
          <w:tcPr>
            <w:tcW w:w="15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514.8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619.3</w:t>
            </w:r>
          </w:p>
        </w:tc>
        <w:tc>
          <w:tcPr>
            <w:tcW w:w="15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(448.5)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6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Prior pension and post-retirement benefit service cost and actuarial loss, net of tax</w:t>
            </w: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1.4</w:t>
            </w:r>
          </w:p>
        </w:tc>
        <w:tc>
          <w:tcPr>
            <w:tcW w:w="15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620.7</w:t>
            </w:r>
          </w:p>
        </w:tc>
        <w:tc>
          <w:tcPr>
            <w:tcW w:w="15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(448.5)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780" w:type="dxa"/>
            <w:vAlign w:val="bottom"/>
          </w:tcPr>
          <w:p>
            <w:pPr>
              <w:spacing w:after="0"/>
              <w:rPr>
                <w:sz w:val="19"/>
                <w:szCs w:val="19"/>
                <w:color w:val="auto"/>
              </w:rPr>
            </w:pPr>
          </w:p>
        </w:tc>
        <w:tc>
          <w:tcPr>
            <w:tcW w:w="140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990.6</w:t>
            </w:r>
          </w:p>
        </w:tc>
        <w:tc>
          <w:tcPr>
            <w:tcW w:w="15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66.3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 (loss)</w:t>
            </w: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0.5</w:t>
            </w:r>
          </w:p>
        </w:tc>
        <w:tc>
          <w:tcPr>
            <w:tcW w:w="15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(0.5)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Mohawk Industries, Inc.</w:t>
            </w: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990.1</w:t>
            </w:r>
          </w:p>
        </w:tc>
        <w:tc>
          <w:tcPr>
            <w:tcW w:w="15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66.8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w:t>
            </w: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MOHAWK INDUSTRIES, INC. AND SUBSIDIARIES</w:t>
      </w:r>
    </w:p>
    <w:p>
      <w:pPr>
        <w:spacing w:after="0" w:line="1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per value and preferred stock shares)</w:t>
            </w:r>
          </w:p>
        </w:tc>
        <w:tc>
          <w:tcPr>
            <w:tcW w:w="720" w:type="dxa"/>
            <w:vAlign w:val="bottom"/>
          </w:tcPr>
          <w:p>
            <w:pPr>
              <w:spacing w:after="0"/>
              <w:rPr>
                <w:sz w:val="16"/>
                <w:szCs w:val="16"/>
                <w:color w:val="auto"/>
              </w:rPr>
            </w:pPr>
          </w:p>
        </w:tc>
        <w:tc>
          <w:tcPr>
            <w:tcW w:w="14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
        </w:trPr>
        <w:tc>
          <w:tcPr>
            <w:tcW w:w="7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856.1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0" w:type="dxa"/>
            <w:vAlign w:val="bottom"/>
          </w:tcPr>
          <w:p>
            <w:pPr>
              <w:spacing w:after="0"/>
              <w:rPr>
                <w:sz w:val="1"/>
                <w:szCs w:val="1"/>
                <w:color w:val="auto"/>
              </w:rPr>
            </w:pPr>
          </w:p>
        </w:tc>
      </w:tr>
      <w:tr>
        <w:trPr>
          <w:trHeight w:val="230"/>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Receivables, net</w:t>
            </w:r>
          </w:p>
        </w:tc>
        <w:tc>
          <w:tcPr>
            <w:tcW w:w="720" w:type="dxa"/>
            <w:vAlign w:val="bottom"/>
          </w:tcPr>
          <w:p>
            <w:pPr>
              <w:spacing w:after="0"/>
              <w:rPr>
                <w:sz w:val="19"/>
                <w:szCs w:val="19"/>
                <w:color w:val="auto"/>
              </w:rPr>
            </w:pPr>
          </w:p>
        </w:tc>
        <w:tc>
          <w:tcPr>
            <w:tcW w:w="14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1,924.1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2,661.7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2,513.6</w:t>
            </w:r>
          </w:p>
        </w:tc>
        <w:tc>
          <w:tcPr>
            <w:tcW w:w="0" w:type="dxa"/>
            <w:vAlign w:val="bottom"/>
          </w:tcPr>
          <w:p>
            <w:pPr>
              <w:spacing w:after="0"/>
              <w:rPr>
                <w:sz w:val="1"/>
                <w:szCs w:val="1"/>
                <w:color w:val="auto"/>
              </w:rPr>
            </w:pPr>
          </w:p>
        </w:tc>
      </w:tr>
      <w:tr>
        <w:trPr>
          <w:trHeight w:val="229"/>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720" w:type="dxa"/>
            <w:vAlign w:val="bottom"/>
          </w:tcPr>
          <w:p>
            <w:pPr>
              <w:spacing w:after="0"/>
              <w:rPr>
                <w:sz w:val="19"/>
                <w:szCs w:val="19"/>
                <w:color w:val="auto"/>
              </w:rPr>
            </w:pPr>
          </w:p>
        </w:tc>
        <w:tc>
          <w:tcPr>
            <w:tcW w:w="14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512.2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7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13.0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5,967.1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5,454.8</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4,772.0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4,579.9</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720" w:type="dxa"/>
            <w:vAlign w:val="bottom"/>
          </w:tcPr>
          <w:p>
            <w:pPr>
              <w:spacing w:after="0"/>
              <w:rPr>
                <w:sz w:val="19"/>
                <w:szCs w:val="19"/>
                <w:color w:val="auto"/>
              </w:rPr>
            </w:pPr>
          </w:p>
        </w:tc>
        <w:tc>
          <w:tcPr>
            <w:tcW w:w="14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408.7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1,210.3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720" w:type="dxa"/>
            <w:vAlign w:val="bottom"/>
          </w:tcPr>
          <w:p>
            <w:pPr>
              <w:spacing w:after="0"/>
              <w:rPr>
                <w:sz w:val="19"/>
                <w:szCs w:val="19"/>
                <w:color w:val="auto"/>
              </w:rPr>
            </w:pPr>
          </w:p>
        </w:tc>
        <w:tc>
          <w:tcPr>
            <w:tcW w:w="14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695.8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subject to amortization, net</w:t>
            </w: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117.4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non-current assets</w:t>
            </w:r>
          </w:p>
        </w:tc>
        <w:tc>
          <w:tcPr>
            <w:tcW w:w="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516.0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13,687.3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12,736.5</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289.3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2,310.4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122.4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2,722.1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2,672.3</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720" w:type="dxa"/>
            <w:vAlign w:val="bottom"/>
          </w:tcPr>
          <w:p>
            <w:pPr>
              <w:spacing w:after="0"/>
              <w:rPr>
                <w:sz w:val="19"/>
                <w:szCs w:val="19"/>
                <w:color w:val="auto"/>
              </w:rPr>
            </w:pPr>
          </w:p>
        </w:tc>
        <w:tc>
          <w:tcPr>
            <w:tcW w:w="14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185.4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1,741.2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720" w:type="dxa"/>
            <w:vAlign w:val="bottom"/>
          </w:tcPr>
          <w:p>
            <w:pPr>
              <w:spacing w:after="0"/>
              <w:rPr>
                <w:sz w:val="19"/>
                <w:szCs w:val="19"/>
                <w:color w:val="auto"/>
              </w:rPr>
            </w:pPr>
          </w:p>
        </w:tc>
        <w:tc>
          <w:tcPr>
            <w:tcW w:w="14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304.4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355.5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5,308.6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5,221.7</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 $.01 par value; 60,000 shares authorized; no shares issued</w:t>
            </w: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$.01 par value; 150.0 shares authorized; 68.8 and 69.9 shares issued in 2025 and 2024,</w:t>
            </w:r>
          </w:p>
        </w:tc>
        <w:tc>
          <w:tcPr>
            <w:tcW w:w="720" w:type="dxa"/>
            <w:vAlign w:val="bottom"/>
          </w:tcPr>
          <w:p>
            <w:pPr>
              <w:spacing w:after="0"/>
              <w:rPr>
                <w:sz w:val="15"/>
                <w:szCs w:val="15"/>
                <w:color w:val="auto"/>
              </w:rPr>
            </w:pPr>
          </w:p>
        </w:tc>
        <w:tc>
          <w:tcPr>
            <w:tcW w:w="1420" w:type="dxa"/>
            <w:vAlign w:val="bottom"/>
            <w:vMerge w:val="restart"/>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0.7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72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1,992.6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1,968.8</w:t>
            </w:r>
          </w:p>
        </w:tc>
        <w:tc>
          <w:tcPr>
            <w:tcW w:w="0" w:type="dxa"/>
            <w:vAlign w:val="bottom"/>
          </w:tcPr>
          <w:p>
            <w:pPr>
              <w:spacing w:after="0"/>
              <w:rPr>
                <w:sz w:val="1"/>
                <w:szCs w:val="1"/>
                <w:color w:val="auto"/>
              </w:rPr>
            </w:pPr>
          </w:p>
        </w:tc>
      </w:tr>
      <w:tr>
        <w:trPr>
          <w:trHeight w:val="229"/>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720" w:type="dxa"/>
            <w:vAlign w:val="bottom"/>
          </w:tcPr>
          <w:p>
            <w:pPr>
              <w:spacing w:after="0"/>
              <w:rPr>
                <w:sz w:val="19"/>
                <w:szCs w:val="19"/>
                <w:color w:val="auto"/>
              </w:rPr>
            </w:pPr>
          </w:p>
        </w:tc>
        <w:tc>
          <w:tcPr>
            <w:tcW w:w="14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7,503.1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7,283.0</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7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(907.9)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8,588.5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7,724.6</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treasury stock at cost; 7.3 and 7.3 shares in 2025 and 2024, respectively</w:t>
            </w:r>
          </w:p>
        </w:tc>
        <w:tc>
          <w:tcPr>
            <w:tcW w:w="7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215.2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Mohawk Industries, Inc. stockholders’ equity</w:t>
            </w:r>
          </w:p>
        </w:tc>
        <w:tc>
          <w:tcPr>
            <w:tcW w:w="720" w:type="dxa"/>
            <w:vAlign w:val="bottom"/>
          </w:tcPr>
          <w:p>
            <w:pPr>
              <w:spacing w:after="0"/>
              <w:rPr>
                <w:sz w:val="19"/>
                <w:szCs w:val="19"/>
                <w:color w:val="auto"/>
              </w:rPr>
            </w:pPr>
          </w:p>
        </w:tc>
        <w:tc>
          <w:tcPr>
            <w:tcW w:w="14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8,373.3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7,509.3</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5.4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8,378.7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7,514.8</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7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13,687.3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MOHAWK INDUSTRIES, INC. AND SUBSIDIARIES</w:t>
      </w:r>
    </w:p>
    <w:p>
      <w:pPr>
        <w:spacing w:after="0" w:line="7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Years Ended December 31, 2025, 2024 and 2023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120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3"/>
                <w:szCs w:val="13"/>
                <w:color w:val="auto"/>
              </w:rPr>
              <w:t>Common Stock</w:t>
            </w:r>
          </w:p>
        </w:tc>
        <w:tc>
          <w:tcPr>
            <w:tcW w:w="2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Additional</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29"/>
              <w:spacing w:after="0" w:line="131" w:lineRule="exact"/>
              <w:rPr>
                <w:sz w:val="20"/>
                <w:szCs w:val="20"/>
                <w:color w:val="auto"/>
              </w:rPr>
            </w:pPr>
            <w:r>
              <w:rPr>
                <w:rFonts w:ascii="Times New Roman" w:cs="Times New Roman" w:eastAsia="Times New Roman" w:hAnsi="Times New Roman"/>
                <w:sz w:val="13"/>
                <w:szCs w:val="13"/>
                <w:color w:val="auto"/>
              </w:rPr>
              <w:t>Accumulated</w:t>
            </w:r>
          </w:p>
        </w:tc>
        <w:tc>
          <w:tcPr>
            <w:tcW w:w="136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3"/>
                <w:szCs w:val="13"/>
                <w:color w:val="auto"/>
              </w:rPr>
              <w:t>Treasury Stock</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Nonredeemable</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31"/>
        </w:trPr>
        <w:tc>
          <w:tcPr>
            <w:tcW w:w="3880" w:type="dxa"/>
            <w:vAlign w:val="bottom"/>
          </w:tcPr>
          <w:p>
            <w:pPr>
              <w:spacing w:after="0"/>
              <w:rPr>
                <w:sz w:val="10"/>
                <w:szCs w:val="10"/>
                <w:color w:val="auto"/>
              </w:rPr>
            </w:pPr>
          </w:p>
        </w:tc>
        <w:tc>
          <w:tcPr>
            <w:tcW w:w="1200" w:type="dxa"/>
            <w:vAlign w:val="bottom"/>
            <w:tcBorders>
              <w:bottom w:val="single" w:sz="8" w:color="auto"/>
            </w:tcBorders>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restart"/>
          </w:tcPr>
          <w:p>
            <w:pPr>
              <w:jc w:val="center"/>
              <w:ind w:left="49"/>
              <w:spacing w:after="0"/>
              <w:rPr>
                <w:sz w:val="20"/>
                <w:szCs w:val="20"/>
                <w:color w:val="auto"/>
              </w:rPr>
            </w:pPr>
            <w:r>
              <w:rPr>
                <w:rFonts w:ascii="Times New Roman" w:cs="Times New Roman" w:eastAsia="Times New Roman" w:hAnsi="Times New Roman"/>
                <w:sz w:val="13"/>
                <w:szCs w:val="13"/>
                <w:color w:val="auto"/>
                <w:w w:val="95"/>
              </w:rPr>
              <w:t>Retained</w:t>
            </w:r>
          </w:p>
        </w:tc>
        <w:tc>
          <w:tcPr>
            <w:tcW w:w="140" w:type="dxa"/>
            <w:vAlign w:val="bottom"/>
          </w:tcPr>
          <w:p>
            <w:pPr>
              <w:spacing w:after="0"/>
              <w:rPr>
                <w:sz w:val="10"/>
                <w:szCs w:val="10"/>
                <w:color w:val="auto"/>
              </w:rPr>
            </w:pPr>
          </w:p>
        </w:tc>
        <w:tc>
          <w:tcPr>
            <w:tcW w:w="840" w:type="dxa"/>
            <w:vAlign w:val="bottom"/>
          </w:tcPr>
          <w:p>
            <w:pPr>
              <w:jc w:val="right"/>
              <w:ind w:right="29"/>
              <w:spacing w:after="0" w:line="126" w:lineRule="exact"/>
              <w:rPr>
                <w:sz w:val="20"/>
                <w:szCs w:val="20"/>
                <w:color w:val="auto"/>
              </w:rPr>
            </w:pPr>
            <w:r>
              <w:rPr>
                <w:rFonts w:ascii="Times New Roman" w:cs="Times New Roman" w:eastAsia="Times New Roman" w:hAnsi="Times New Roman"/>
                <w:sz w:val="13"/>
                <w:szCs w:val="13"/>
                <w:color w:val="auto"/>
              </w:rPr>
              <w:t>Other</w:t>
            </w:r>
          </w:p>
        </w:tc>
        <w:tc>
          <w:tcPr>
            <w:tcW w:w="1360" w:type="dxa"/>
            <w:vAlign w:val="bottom"/>
            <w:tcBorders>
              <w:bottom w:val="single" w:sz="8" w:color="auto"/>
            </w:tcBorders>
            <w:gridSpan w:val="3"/>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8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(In millions)</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3"/>
              </w:rPr>
              <w:t>Amount</w:t>
            </w:r>
          </w:p>
        </w:tc>
        <w:tc>
          <w:tcPr>
            <w:tcW w:w="2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Paid-in</w:t>
            </w: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980" w:type="dxa"/>
            <w:vAlign w:val="bottom"/>
            <w:gridSpan w:val="2"/>
          </w:tcPr>
          <w:p>
            <w:pPr>
              <w:jc w:val="right"/>
              <w:ind w:right="29"/>
              <w:spacing w:after="0" w:line="102" w:lineRule="exact"/>
              <w:rPr>
                <w:sz w:val="20"/>
                <w:szCs w:val="20"/>
                <w:color w:val="auto"/>
              </w:rPr>
            </w:pPr>
            <w:r>
              <w:rPr>
                <w:rFonts w:ascii="Times New Roman" w:cs="Times New Roman" w:eastAsia="Times New Roman" w:hAnsi="Times New Roman"/>
                <w:sz w:val="10"/>
                <w:szCs w:val="10"/>
                <w:color w:val="auto"/>
              </w:rPr>
              <w:t>Comprehensive</w:t>
            </w: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Amount</w:t>
            </w:r>
          </w:p>
        </w:tc>
        <w:tc>
          <w:tcPr>
            <w:tcW w:w="1000" w:type="dxa"/>
            <w:vAlign w:val="bottom"/>
            <w:gridSpan w:val="2"/>
          </w:tcPr>
          <w:p>
            <w:pPr>
              <w:jc w:val="right"/>
              <w:ind w:right="28"/>
              <w:spacing w:after="0" w:line="102" w:lineRule="exact"/>
              <w:rPr>
                <w:sz w:val="20"/>
                <w:szCs w:val="20"/>
                <w:color w:val="auto"/>
              </w:rPr>
            </w:pPr>
            <w:r>
              <w:rPr>
                <w:rFonts w:ascii="Times New Roman" w:cs="Times New Roman" w:eastAsia="Times New Roman" w:hAnsi="Times New Roman"/>
                <w:sz w:val="10"/>
                <w:szCs w:val="10"/>
                <w:color w:val="auto"/>
              </w:rPr>
              <w:t>Noncontrolling</w:t>
            </w:r>
          </w:p>
        </w:tc>
        <w:tc>
          <w:tcPr>
            <w:tcW w:w="160" w:type="dxa"/>
            <w:vAlign w:val="bottom"/>
          </w:tcPr>
          <w:p>
            <w:pPr>
              <w:spacing w:after="0"/>
              <w:rPr>
                <w:sz w:val="8"/>
                <w:szCs w:val="8"/>
                <w:color w:val="auto"/>
              </w:rPr>
            </w:pPr>
          </w:p>
        </w:tc>
        <w:tc>
          <w:tcPr>
            <w:tcW w:w="74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Stockholders’</w:t>
            </w:r>
          </w:p>
        </w:tc>
        <w:tc>
          <w:tcPr>
            <w:tcW w:w="0" w:type="dxa"/>
            <w:vAlign w:val="bottom"/>
          </w:tcPr>
          <w:p>
            <w:pPr>
              <w:spacing w:after="0"/>
              <w:rPr>
                <w:sz w:val="1"/>
                <w:szCs w:val="1"/>
                <w:color w:val="auto"/>
              </w:rPr>
            </w:pPr>
          </w:p>
        </w:tc>
      </w:tr>
      <w:tr>
        <w:trPr>
          <w:trHeight w:val="170"/>
        </w:trPr>
        <w:tc>
          <w:tcPr>
            <w:tcW w:w="38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Capital</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3"/>
                <w:szCs w:val="13"/>
                <w:color w:val="auto"/>
                <w:w w:val="95"/>
              </w:rPr>
              <w:t>Earnings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color w:val="auto"/>
                <w:w w:val="95"/>
              </w:rPr>
              <w:t>Income (Loss)</w:t>
            </w: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Interests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Equity</w:t>
            </w: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December 31, 2022*</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1,930.8</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7,380.1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(1,114.3)</w:t>
            </w:r>
          </w:p>
        </w:tc>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7,988.3</w:t>
            </w:r>
          </w:p>
        </w:tc>
        <w:tc>
          <w:tcPr>
            <w:tcW w:w="0" w:type="dxa"/>
            <w:vAlign w:val="bottom"/>
          </w:tcPr>
          <w:p>
            <w:pPr>
              <w:spacing w:after="0"/>
              <w:rPr>
                <w:sz w:val="1"/>
                <w:szCs w:val="1"/>
                <w:color w:val="auto"/>
              </w:rPr>
            </w:pPr>
          </w:p>
        </w:tc>
      </w:tr>
      <w:tr>
        <w:trPr>
          <w:trHeight w:val="139"/>
        </w:trPr>
        <w:tc>
          <w:tcPr>
            <w:tcW w:w="3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under employee and director stock plans, net of</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2"/>
                <w:szCs w:val="12"/>
                <w:color w:val="auto"/>
              </w:rPr>
            </w:pP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tcPr>
          <w:p>
            <w:pPr>
              <w:spacing w:after="0"/>
              <w:rPr>
                <w:sz w:val="12"/>
                <w:szCs w:val="12"/>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4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to pay taxes on employees’ equity awards</w:t>
            </w: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noncontrolling interests</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36"/>
        </w:trPr>
        <w:tc>
          <w:tcPr>
            <w:tcW w:w="38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Purchase of redeemable noncontrolling interest and noncontrolling</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spacing w:after="0"/>
              <w:rPr>
                <w:sz w:val="11"/>
                <w:szCs w:val="11"/>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1"/>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net of taxes</w:t>
            </w: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 on noncontrolling interests</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35.3</w:t>
            </w:r>
          </w:p>
        </w:tc>
        <w:tc>
          <w:tcPr>
            <w:tcW w:w="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143"/>
        </w:trPr>
        <w:tc>
          <w:tcPr>
            <w:tcW w:w="38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Prior pension and post-retirement benefit service cost and actuarial</w:t>
            </w:r>
          </w:p>
        </w:tc>
        <w:tc>
          <w:tcPr>
            <w:tcW w:w="6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6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(loss), net of tax</w:t>
            </w:r>
          </w:p>
        </w:tc>
        <w:tc>
          <w:tcPr>
            <w:tcW w:w="6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left="69"/>
              <w:spacing w:after="0"/>
              <w:rPr>
                <w:sz w:val="20"/>
                <w:szCs w:val="20"/>
                <w:color w:val="auto"/>
              </w:rPr>
            </w:pPr>
            <w:r>
              <w:rPr>
                <w:rFonts w:ascii="Times New Roman" w:cs="Times New Roman" w:eastAsia="Times New Roman" w:hAnsi="Times New Roman"/>
                <w:sz w:val="14"/>
                <w:szCs w:val="14"/>
                <w:color w:val="auto"/>
              </w:rPr>
              <w:t>(449.0)</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December 31, 2023</w:t>
            </w: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71.0</w:t>
            </w: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1,947.5</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6,931.1</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(1,080.0)</w:t>
            </w:r>
          </w:p>
        </w:tc>
        <w:tc>
          <w:tcPr>
            <w:tcW w:w="6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7,590.0</w:t>
            </w:r>
          </w:p>
        </w:tc>
        <w:tc>
          <w:tcPr>
            <w:tcW w:w="0" w:type="dxa"/>
            <w:vAlign w:val="bottom"/>
          </w:tcPr>
          <w:p>
            <w:pPr>
              <w:spacing w:after="0"/>
              <w:rPr>
                <w:sz w:val="1"/>
                <w:szCs w:val="1"/>
                <w:color w:val="auto"/>
              </w:rPr>
            </w:pPr>
          </w:p>
        </w:tc>
      </w:tr>
      <w:tr>
        <w:trPr>
          <w:trHeight w:val="139"/>
        </w:trPr>
        <w:tc>
          <w:tcPr>
            <w:tcW w:w="3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under employee and director stock plans, net of</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spacing w:after="0"/>
              <w:rPr>
                <w:sz w:val="12"/>
                <w:szCs w:val="12"/>
                <w:color w:val="auto"/>
              </w:rPr>
            </w:pP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tcPr>
          <w:p>
            <w:pPr>
              <w:spacing w:after="0"/>
              <w:rPr>
                <w:sz w:val="12"/>
                <w:szCs w:val="12"/>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to pay taxes on employees’ equity awards</w:t>
            </w: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(162.8)</w:t>
            </w:r>
          </w:p>
        </w:tc>
        <w:tc>
          <w:tcPr>
            <w:tcW w:w="14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noncontrolling interests</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 on noncontrolling interests</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nonredeemable noncontrolling interest, net of taxes</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(447.9)</w:t>
            </w:r>
          </w:p>
        </w:tc>
        <w:tc>
          <w:tcPr>
            <w:tcW w:w="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(447.9)</w:t>
            </w:r>
          </w:p>
        </w:tc>
        <w:tc>
          <w:tcPr>
            <w:tcW w:w="0" w:type="dxa"/>
            <w:vAlign w:val="bottom"/>
          </w:tcPr>
          <w:p>
            <w:pPr>
              <w:spacing w:after="0"/>
              <w:rPr>
                <w:sz w:val="1"/>
                <w:szCs w:val="1"/>
                <w:color w:val="auto"/>
              </w:rPr>
            </w:pPr>
          </w:p>
        </w:tc>
      </w:tr>
      <w:tr>
        <w:trPr>
          <w:trHeight w:val="143"/>
        </w:trPr>
        <w:tc>
          <w:tcPr>
            <w:tcW w:w="38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Prior pension and post-retirement benefit service cost and actuarial</w:t>
            </w:r>
          </w:p>
        </w:tc>
        <w:tc>
          <w:tcPr>
            <w:tcW w:w="6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(loss), net of tax</w:t>
            </w:r>
          </w:p>
        </w:tc>
        <w:tc>
          <w:tcPr>
            <w:tcW w:w="6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514.7</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514.7</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December 31, 2024</w:t>
            </w: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69.9</w:t>
            </w: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1,968.8</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7,283.0</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(1,527.9)</w:t>
            </w:r>
          </w:p>
        </w:tc>
        <w:tc>
          <w:tcPr>
            <w:tcW w:w="6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7,514.8</w:t>
            </w:r>
          </w:p>
        </w:tc>
        <w:tc>
          <w:tcPr>
            <w:tcW w:w="0" w:type="dxa"/>
            <w:vAlign w:val="bottom"/>
          </w:tcPr>
          <w:p>
            <w:pPr>
              <w:spacing w:after="0"/>
              <w:rPr>
                <w:sz w:val="1"/>
                <w:szCs w:val="1"/>
                <w:color w:val="auto"/>
              </w:rPr>
            </w:pPr>
          </w:p>
        </w:tc>
      </w:tr>
      <w:tr>
        <w:trPr>
          <w:trHeight w:val="139"/>
        </w:trPr>
        <w:tc>
          <w:tcPr>
            <w:tcW w:w="3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under employee and director stock plans, net of</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0.2</w:t>
            </w:r>
          </w:p>
        </w:tc>
        <w:tc>
          <w:tcPr>
            <w:tcW w:w="140" w:type="dxa"/>
            <w:vAlign w:val="bottom"/>
          </w:tcPr>
          <w:p>
            <w:pPr>
              <w:spacing w:after="0"/>
              <w:rPr>
                <w:sz w:val="12"/>
                <w:szCs w:val="12"/>
                <w:color w:val="auto"/>
              </w:rPr>
            </w:pP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(6.2)</w:t>
            </w:r>
          </w:p>
        </w:tc>
        <w:tc>
          <w:tcPr>
            <w:tcW w:w="260" w:type="dxa"/>
            <w:vAlign w:val="bottom"/>
          </w:tcPr>
          <w:p>
            <w:pPr>
              <w:spacing w:after="0"/>
              <w:rPr>
                <w:sz w:val="12"/>
                <w:szCs w:val="12"/>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c>
          <w:tcPr>
            <w:tcW w:w="34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to pay taxes on employees’ equity awards</w:t>
            </w: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30.0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w:t>
            </w: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benefit from stock-based compensation</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(149.8)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(149.8)</w:t>
            </w: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noncontrolling interests</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 on noncontrolling interests</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0.5</w:t>
            </w: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De-consolidation of noncontrolling interest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(0.6)</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(0.6)</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nonredeemable noncontrolling interest, net of taxes</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618.6</w:t>
            </w:r>
          </w:p>
        </w:tc>
        <w:tc>
          <w:tcPr>
            <w:tcW w:w="6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618.6</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Prior pension and post-retirement benefit service cost and actuarial</w:t>
            </w:r>
          </w:p>
        </w:tc>
        <w:tc>
          <w:tcPr>
            <w:tcW w:w="6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1.4</w:t>
            </w:r>
          </w:p>
        </w:tc>
        <w:tc>
          <w:tcPr>
            <w:tcW w:w="6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0" w:type="dxa"/>
            <w:vAlign w:val="bottom"/>
          </w:tcPr>
          <w:p>
            <w:pPr>
              <w:spacing w:after="0"/>
              <w:rPr>
                <w:sz w:val="1"/>
                <w:szCs w:val="1"/>
                <w:color w:val="auto"/>
              </w:rPr>
            </w:pPr>
          </w:p>
        </w:tc>
      </w:tr>
      <w:tr>
        <w:trPr>
          <w:trHeight w:val="18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(loss), net of tax</w:t>
            </w:r>
          </w:p>
        </w:tc>
        <w:tc>
          <w:tcPr>
            <w:tcW w:w="6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369.9</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369.9</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December 31, 2025</w:t>
            </w: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68.8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0.7</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1,992.6</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7,503.1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(907.9)</w:t>
            </w:r>
          </w:p>
        </w:tc>
        <w:tc>
          <w:tcPr>
            <w:tcW w:w="6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(7.3)</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(215.2)</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8,378.7</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MOHAWK INDUSTRIES,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60" w:type="dxa"/>
            <w:vAlign w:val="bottom"/>
          </w:tcPr>
          <w:p>
            <w:pPr>
              <w:spacing w:after="0"/>
              <w:rPr>
                <w:sz w:val="16"/>
                <w:szCs w:val="16"/>
                <w:color w:val="auto"/>
              </w:rPr>
            </w:pPr>
          </w:p>
        </w:tc>
        <w:tc>
          <w:tcPr>
            <w:tcW w:w="14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including noncontrolling interests</w:t>
            </w:r>
          </w:p>
        </w:tc>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369.9</w:t>
            </w:r>
          </w:p>
        </w:tc>
        <w:tc>
          <w:tcPr>
            <w:tcW w:w="15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514.8</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(448.9)</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excluding accelerated depreciation</w:t>
            </w:r>
          </w:p>
        </w:tc>
        <w:tc>
          <w:tcPr>
            <w:tcW w:w="860" w:type="dxa"/>
            <w:vAlign w:val="bottom"/>
          </w:tcPr>
          <w:p>
            <w:pPr>
              <w:spacing w:after="0"/>
              <w:rPr>
                <w:sz w:val="19"/>
                <w:szCs w:val="19"/>
                <w:color w:val="auto"/>
              </w:rPr>
            </w:pP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100.8</w:t>
            </w:r>
          </w:p>
        </w:tc>
        <w:tc>
          <w:tcPr>
            <w:tcW w:w="15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60.0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r>
      <w:tr>
        <w:trPr>
          <w:trHeight w:val="229"/>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goodwill and indefinite-lived intangibles</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19.9</w:t>
            </w:r>
          </w:p>
        </w:tc>
        <w:tc>
          <w:tcPr>
            <w:tcW w:w="15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8.2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877.7</w:t>
            </w:r>
          </w:p>
        </w:tc>
      </w:tr>
      <w:tr>
        <w:trPr>
          <w:trHeight w:val="230"/>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Pr>
          <w:p>
            <w:pPr>
              <w:spacing w:after="0"/>
              <w:rPr>
                <w:sz w:val="19"/>
                <w:szCs w:val="19"/>
                <w:color w:val="auto"/>
              </w:rPr>
            </w:pP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652.6</w:t>
            </w:r>
          </w:p>
        </w:tc>
        <w:tc>
          <w:tcPr>
            <w:tcW w:w="15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638.3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630.3</w:t>
            </w:r>
          </w:p>
        </w:tc>
      </w:tr>
      <w:tr>
        <w:trPr>
          <w:trHeight w:val="229"/>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(131.8)</w:t>
            </w:r>
          </w:p>
        </w:tc>
        <w:tc>
          <w:tcPr>
            <w:tcW w:w="15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(58.2)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r>
      <w:tr>
        <w:trPr>
          <w:trHeight w:val="229"/>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and loss on disposal of property, plant and equipment</w:t>
            </w:r>
          </w:p>
        </w:tc>
        <w:tc>
          <w:tcPr>
            <w:tcW w:w="860" w:type="dxa"/>
            <w:vAlign w:val="bottom"/>
          </w:tcPr>
          <w:p>
            <w:pPr>
              <w:spacing w:after="0"/>
              <w:rPr>
                <w:sz w:val="19"/>
                <w:szCs w:val="19"/>
                <w:color w:val="auto"/>
              </w:rPr>
            </w:pPr>
          </w:p>
        </w:tc>
        <w:tc>
          <w:tcPr>
            <w:tcW w:w="14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(14.2)</w:t>
            </w:r>
          </w:p>
        </w:tc>
        <w:tc>
          <w:tcPr>
            <w:tcW w:w="15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13.8</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30"/>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30.0</w:t>
            </w:r>
          </w:p>
        </w:tc>
        <w:tc>
          <w:tcPr>
            <w:tcW w:w="15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27.5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Receivables, net</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(16.6)</w:t>
            </w:r>
          </w:p>
        </w:tc>
        <w:tc>
          <w:tcPr>
            <w:tcW w:w="15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(46.2)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w:t>
            </w: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tcPr>
          <w:p>
            <w:pPr>
              <w:spacing w:after="0"/>
              <w:rPr>
                <w:sz w:val="19"/>
                <w:szCs w:val="19"/>
                <w:color w:val="auto"/>
              </w:rPr>
            </w:pPr>
          </w:p>
        </w:tc>
        <w:tc>
          <w:tcPr>
            <w:tcW w:w="14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(28.3)</w:t>
            </w:r>
          </w:p>
        </w:tc>
        <w:tc>
          <w:tcPr>
            <w:tcW w:w="15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(79.1)</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r>
      <w:tr>
        <w:trPr>
          <w:trHeight w:val="229"/>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71.5</w:t>
            </w:r>
          </w:p>
        </w:tc>
        <w:tc>
          <w:tcPr>
            <w:tcW w:w="15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43.8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 and prepaid expenses</w:t>
            </w:r>
          </w:p>
        </w:tc>
        <w:tc>
          <w:tcPr>
            <w:tcW w:w="860" w:type="dxa"/>
            <w:vAlign w:val="bottom"/>
          </w:tcPr>
          <w:p>
            <w:pPr>
              <w:spacing w:after="0"/>
              <w:rPr>
                <w:sz w:val="19"/>
                <w:szCs w:val="19"/>
                <w:color w:val="auto"/>
              </w:rPr>
            </w:pPr>
          </w:p>
        </w:tc>
        <w:tc>
          <w:tcPr>
            <w:tcW w:w="14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(22.1)</w:t>
            </w:r>
          </w:p>
        </w:tc>
        <w:tc>
          <w:tcPr>
            <w:tcW w:w="15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56.8</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29"/>
        </w:trPr>
        <w:tc>
          <w:tcPr>
            <w:tcW w:w="63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24.5</w:t>
            </w:r>
          </w:p>
        </w:tc>
        <w:tc>
          <w:tcPr>
            <w:tcW w:w="154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(45.8)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223"/>
        </w:trPr>
        <w:tc>
          <w:tcPr>
            <w:tcW w:w="6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1,056.2</w:t>
            </w:r>
          </w:p>
        </w:tc>
        <w:tc>
          <w:tcPr>
            <w:tcW w:w="15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1,133.9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1,329.2</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860" w:type="dxa"/>
            <w:vAlign w:val="bottom"/>
          </w:tcPr>
          <w:p>
            <w:pPr>
              <w:spacing w:after="0"/>
              <w:rPr>
                <w:sz w:val="19"/>
                <w:szCs w:val="19"/>
                <w:color w:val="auto"/>
              </w:rPr>
            </w:pPr>
          </w:p>
        </w:tc>
        <w:tc>
          <w:tcPr>
            <w:tcW w:w="14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(440.0)</w:t>
            </w:r>
          </w:p>
        </w:tc>
        <w:tc>
          <w:tcPr>
            <w:tcW w:w="15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(454.4)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(612.9)</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5.0</w:t>
            </w:r>
          </w:p>
        </w:tc>
        <w:tc>
          <w:tcPr>
            <w:tcW w:w="15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860" w:type="dxa"/>
            <w:vAlign w:val="bottom"/>
          </w:tcPr>
          <w:p>
            <w:pPr>
              <w:spacing w:after="0"/>
              <w:rPr>
                <w:sz w:val="19"/>
                <w:szCs w:val="19"/>
                <w:color w:val="auto"/>
              </w:rPr>
            </w:pPr>
          </w:p>
        </w:tc>
        <w:tc>
          <w:tcPr>
            <w:tcW w:w="14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(6.9)</w:t>
            </w:r>
          </w:p>
        </w:tc>
        <w:tc>
          <w:tcPr>
            <w:tcW w:w="15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(515.4)</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w:t>
            </w:r>
          </w:p>
        </w:tc>
      </w:tr>
      <w:tr>
        <w:trPr>
          <w:trHeight w:val="230"/>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Redemption of short-term investments</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933.0</w:t>
            </w:r>
          </w:p>
        </w:tc>
      </w:tr>
      <w:tr>
        <w:trPr>
          <w:trHeight w:val="223"/>
        </w:trPr>
        <w:tc>
          <w:tcPr>
            <w:tcW w:w="6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(441.9)</w:t>
            </w:r>
          </w:p>
        </w:tc>
        <w:tc>
          <w:tcPr>
            <w:tcW w:w="154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(454.4)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(970.3)</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Senior Credit Facility</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(526.8)</w:t>
            </w:r>
          </w:p>
        </w:tc>
        <w:tc>
          <w:tcPr>
            <w:tcW w:w="15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(353.4)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(1,015.2)</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Senior Credit Facility</w:t>
            </w:r>
          </w:p>
        </w:tc>
        <w:tc>
          <w:tcPr>
            <w:tcW w:w="860" w:type="dxa"/>
            <w:vAlign w:val="bottom"/>
          </w:tcPr>
          <w:p>
            <w:pPr>
              <w:spacing w:after="0"/>
              <w:rPr>
                <w:sz w:val="19"/>
                <w:szCs w:val="19"/>
                <w:color w:val="auto"/>
              </w:rPr>
            </w:pP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526.3</w:t>
            </w:r>
          </w:p>
        </w:tc>
        <w:tc>
          <w:tcPr>
            <w:tcW w:w="15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287.5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1,073.4</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commercial paper</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(8,009.8)</w:t>
            </w:r>
          </w:p>
        </w:tc>
        <w:tc>
          <w:tcPr>
            <w:tcW w:w="15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(10,156.1)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(16,402.4)</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commercial paper</w:t>
            </w:r>
          </w:p>
        </w:tc>
        <w:tc>
          <w:tcPr>
            <w:tcW w:w="860" w:type="dxa"/>
            <w:vAlign w:val="bottom"/>
          </w:tcPr>
          <w:p>
            <w:pPr>
              <w:spacing w:after="0"/>
              <w:rPr>
                <w:sz w:val="19"/>
                <w:szCs w:val="19"/>
                <w:color w:val="auto"/>
              </w:rPr>
            </w:pP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7,726.1</w:t>
            </w:r>
          </w:p>
        </w:tc>
        <w:tc>
          <w:tcPr>
            <w:tcW w:w="15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10,693.4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15,578.8</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Senior Notes issuance</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Term Loan Facility</w:t>
            </w:r>
          </w:p>
        </w:tc>
        <w:tc>
          <w:tcPr>
            <w:tcW w:w="860" w:type="dxa"/>
            <w:vAlign w:val="bottom"/>
          </w:tcPr>
          <w:p>
            <w:pPr>
              <w:spacing w:after="0"/>
              <w:rPr>
                <w:sz w:val="19"/>
                <w:szCs w:val="19"/>
                <w:color w:val="auto"/>
              </w:rPr>
            </w:pP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(912.3)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payments of other financing activities</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(39.1)</w:t>
            </w:r>
          </w:p>
        </w:tc>
        <w:tc>
          <w:tcPr>
            <w:tcW w:w="15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(24.2)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860" w:type="dxa"/>
            <w:vAlign w:val="bottom"/>
          </w:tcPr>
          <w:p>
            <w:pPr>
              <w:spacing w:after="0"/>
              <w:rPr>
                <w:sz w:val="19"/>
                <w:szCs w:val="19"/>
                <w:color w:val="auto"/>
              </w:rPr>
            </w:pP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Mohawk common stock</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(149.8)</w:t>
            </w:r>
          </w:p>
        </w:tc>
        <w:tc>
          <w:tcPr>
            <w:tcW w:w="15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(162.8)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outstanding checks in excess of cash</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3.1</w:t>
            </w:r>
          </w:p>
        </w:tc>
        <w:tc>
          <w:tcPr>
            <w:tcW w:w="15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(1.6)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(470.0)</w:t>
            </w:r>
          </w:p>
        </w:tc>
        <w:tc>
          <w:tcPr>
            <w:tcW w:w="154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(629.5)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r>
      <w:tr>
        <w:trPr>
          <w:trHeight w:val="230"/>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45.2</w:t>
            </w:r>
          </w:p>
        </w:tc>
        <w:tc>
          <w:tcPr>
            <w:tcW w:w="15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(26.0)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189.5</w:t>
            </w:r>
          </w:p>
        </w:tc>
        <w:tc>
          <w:tcPr>
            <w:tcW w:w="15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24.0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r>
      <w:tr>
        <w:trPr>
          <w:trHeight w:val="230"/>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666.6</w:t>
            </w:r>
          </w:p>
        </w:tc>
        <w:tc>
          <w:tcPr>
            <w:tcW w:w="15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642.6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509.6</w:t>
            </w:r>
          </w:p>
        </w:tc>
      </w:tr>
      <w:tr>
        <w:trPr>
          <w:trHeight w:val="230"/>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86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856.1</w:t>
            </w:r>
          </w:p>
        </w:tc>
        <w:tc>
          <w:tcPr>
            <w:tcW w:w="154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666.6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MOHAWK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Mohawk Industries, Inc. (“Mohawk” or the “Company”), a term which includes the Company and its subsidiaries, is a leading global flooring manufacturer that creates products to enhance residential and commercial spaces around the world. The Company’s vertically integrated manufacturing and distribution processes provide competitive advantages in the production of carpet, rugs, ceramic tile, laminate, wood, stone, luxury vinyl tile (“LVT”) and sheet vinyl flooring.</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significant intercompany balances and transactions have been eliminated in consolidation.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United States generally accepted accounting principles requires management to make estimates and assumptions that affect the reported amounts of assets and liabilities and the disclosure of contingent assets and liabilities as of the date of the financial statements and the reported amounts of revenues and expenses during the reporting period. Actual results could differ from those estimates.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investments with an original maturity of three months or less when purchased to be cash equivalents. As of December 31, 2025, the Company had cash and cash equivalents of $856.1 million, of which $370.8 million was held outside the United States. As of December 31, 2024, the Company had cash and cash equivalents of $666.6 million, of which $181.6 million was held outside the United States.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had no short-term investment balances as of December 31, 2025, and December 31, 2024. When the Company has short-term investment balances, it invests in high-quality credit instruments.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define fair value as the price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The authoritative guidance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 As the basis for evaluating such inputs, a three-tier value hierarchy prioritizes the inputs used in measuring fair value as follows: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Observable inputs such as quoted prices for identical assets or liabilities in active markets.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2: </w:t>
      </w:r>
      <w:r>
        <w:rPr>
          <w:rFonts w:ascii="Times New Roman" w:cs="Times New Roman" w:eastAsia="Times New Roman" w:hAnsi="Times New Roman"/>
          <w:sz w:val="18"/>
          <w:szCs w:val="18"/>
          <w:color w:val="auto"/>
        </w:rPr>
        <w:t>Observable inputs other than quoted prices that are directly or indirectly observable for the asset or liability, including quoted prices for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or liabilities in active markets; quoted prices for similar or identical assets or liabilities in markets that are not active; and model-derived valuations whose inputs are observable or whose significant value drivers are observable.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3: </w:t>
      </w:r>
      <w:r>
        <w:rPr>
          <w:rFonts w:ascii="Times New Roman" w:cs="Times New Roman" w:eastAsia="Times New Roman" w:hAnsi="Times New Roman"/>
          <w:sz w:val="18"/>
          <w:szCs w:val="18"/>
          <w:color w:val="auto"/>
        </w:rPr>
        <w:t>Unobservable inputs that reflect the reporting entity’s own assumptions.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Revenue Recognition</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it satisfies performance obligations as evidenced by the transfer of control of the promised goods to customers, in an amount that reflects the consideration the Company expects to be entitled to in exchange for those goods. The nature of the promised goods are ceramic, stone, carpet, resilient (includes sheet vinyl and LVT), laminate, wood and other flooring products. Payment is typically received 90 days or less from the invoice date. The Company adjusts the amounts of revenue for expected cash discounts, sales allowances, returns and claims based upon historical experience. The Company adjusts accounts receivable for doubtful account allowances based upon historical bad debt, claims experience, periodic evaluation of specific customer accounts and the aging of accounts receivable.</w:t>
      </w: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accounts for incremental costs of obtaining a contract as an expense when incurred in selling, general and administrative expenses if the amortization period is less than one year.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accounts for shipping and handling activities performed after control has been transferred as a fulfillment cost in cost of sales.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all inventories on the first-in, first-out (“FIFO”) method. Inventories are stated at the lower of cost or net realizable value. Cost has been determined using the FIFO method. Costs included in inventory include raw materials, direct and indirect labor, employee benefits, depreciation, general manufacturing overhead and various other costs of manufacturing. Inventories on hand are compared against anticipated future usage, which is a function of historical usage, anticipated future selling price, expected sales below cost, excessive quantities and an evaluation for obsolescence.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including capitalized interest. Depreciation is calculated on a straight-line basis over the estimated useful lives of the assets, which are 15-40 years for buildings and improvements, 3-25 years for machinery and equipment, 3-7 years for furniture and fixtures and the shorter of the estimated useful life or lease term for leasehold improvements.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Business Combinations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business combinations under the acquisition method of accounting which requires it to recognize separately from goodwill the assets acquired and the liabilities assumed at their acquisition date fair values. While the Company uses its best estimates and assumptions to accurately value assets acquired and liabilities assumed at the acquisition date as well as contingent consideration, where applicable, the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Company’s consolidated statements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2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the provisions of the FASB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the Company tests goodwill and other intangible assets with indefinite lives, which for the Company are tradenames, for impairment on an annual basis on the first day of the fourth quarter (or on an interim basis if an event occurs that might reduce the fair value of the reporting unit below its carrying value). The Company’s annual impairment tests of goodwill and tradenames may be completed through qualitative assessments. The Company may elect to bypass the qualitative assessment and proceed directly to a quantitative impairment test, for any reporting unit or tradename, in any period. The Company can resume the qualitative assessment for any reporting unit or tradename in any subsequent period.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identified Global Ceramic, Flooring North America (“Flooring NA”) and Flooring Rest of the World (“Flooring ROW”) as its reporting units for the purposes of allocating goodwill as well as assessing impairments. The Company considers the relationship between its market capitalization and its book value, among other factors, when reviewing for indicators of impairment.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a qualitative approach, the Company’s impairment review for goodwill consists of an assessment of whether it is more-likely-than-not that a reporting unit’s fair value is less than its carrying amount. If the Company elects to bypass the qualitative assessment for any reporting units, or if a qualitative assessment indicates it is more-likely-than-not that the estimated carrying value of a reporting unit exceeds its fair value, the Company performs a quantitative goodwill impairment test that requires it to estimate the fair value of the reporting unit.</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quantitative goodwill impairment tests are based on determining the fair value of the specified reporting units based on management judgments and assumptions using the discounted cash flows under the income approach classified in Level 3 of the fair value hierarchy and comparable company market valuation classified in Level 2 of the fair value hierarchy approaches. If the carrying value of a reporting unit exceeds its fair value, the Company will measure any goodwill impairment loss as the amount by which the carrying amount of a reporting unit exceeds its fair value, not to exceed the total amount of goodwill allocated to that reporting unit. The valuation approaches are subject to key judgments and assumptions that are sensitive to change such as judgments and assumptions about appropriate sales growth rates, operating margins, capital expenditures, WACC and comparable company market multiples. When developing these key judgments and assumptions, the Company considers economic, operational and market conditions that could impact the fair value of the reporting unit. However, estimates are inherently uncertain and represent only management’s reasonable expectations regarding future developments. These estimates and the judgments and assumptions upon which the estimates are based will, in all likelihood, differ in some respects from actual future results.</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a qualitative approach, the Company’s impairment review for tradenames consists of an assessment of whether it is more-likely-than-not that a tradename’s fair value is less than its carrying value. If the Company elects to bypass the qualitative assessment for any tradename, or if a qualitative assessment indicates it is more-likely-than-not that the estimated carrying value of a tradename exceeds its fair value, the Company performs a quantitative tradename impairment test of the tradename.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quantitative impairment evaluation for tradenames involves a comparison of the estimated fair value of the tradename to its carrying amount. If the carrying value of the tradename exceeds its fair value, an impairment loss is recognized in an amount equal to that excess. The determination of fair value used in the impairment evaluation is based on discounted estimates of future sales projections attributable to ownership of the tradenames. Significant judgments inherent in this analysis include assumptions about appropriate sales growth rates, royalty rates, applicable discount rate and the amount of expected future cash flows. The judgments and assumptions used in the estimate of fair value are generally consistent with past performance and are also consistent with the projections and assumptions that are used in current operating plans. Such assumptions are subject to change as a result of changing economic and competitive conditions. The determination of fair value is highly sensitive to differences between estimated and actual cash flows and changes in the related discount rate used to evaluate the fair value of the tradenames. Estimated cash flows are sensitive to changes in the economy among other things.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with finite lives are amortized based on their estimated lives, which range from 5-20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measures right of use (“ROU”) assets and lease liabilities based on the present value of the future minimum lease payments over the lease term at the commencement date. Minimum lease payments include the fixed lease and non-lease components of the agreement, as well as any variable rent payments that depend on an index, initially measured using the index at the lease commencement date. The ROU assets are adjusted for any initial direct costs incurred less any lease incentives received, in addition to payments made on or before the commencement date of the lease. The Company recognizes lease expense for leases on a straight-line basis over the lease term. Variable rent expenses consist primarily of maintenance, property taxes and charges based on usage.</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the implicit rate is not readily determinable for most of the Company’s lease agreements, the Company uses an estimated incremental borrowing rate to determine the initial present value of lease payments. These discount rates for leases are calculated using the Company’s credit spread adjusted for current market factors and foreign currency rates.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determines if a contract is or contains a lease at inception. The Company has operating and finance leases for service centers, warehouses, showrooms, and machinery and equipment. Leases with an initial term of 12 months or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less are not recorded on the balance sheet and expensed as incurred. The Company enters into lease contracts ranging from 1 to 60 years with a majority of the Company’s lease terms ranging from 1 to 10 years.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leases include one or more options to renew, with renewal terms that can extend the lease term from 3 to 10 years or more. The exercise of these lease renewal options is at the Company’s sole discretion. An insignificant number of the Company’s leases include options to purchase the leased property. The depreciable life of assets and leasehold improvements are limited by the expected lease term.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consist primarily of short-term investments, receivables, accounts payable, accrued expenses, short-term debt and long-term debt. The carrying amounts of receivables, accounts payable and accrued expenses approximate their fair value because of the short-term maturity of such instruments. The Company has a wholly-owned captive insurance company that may periodically invest in the Company’s commercial paper. These short-term commercial paper investments are classified as trading securities and carried at fair value using inputs that are within level two of the fair value hierarchy. The carrying amount of the Company’s variable-rate debt approximates its fair value using inputs that are within level two of the fair value hierarchy. Interest rates that are currently available to the Company for issuance of long-term debt with similar terms and remaining maturities are used to estimate the fair value of the Company’s long-term debt.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 and Vendor Consideration</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Advertising and promotion expenses are charged to earnings during the period in which they are incurred. Advertising and promotion expenses included in selling, general, and administrative expenses were $163.6 million in 2025, $143.7 million in 2024 and $135.2 million in 2023.</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Vendor consideration, generally cash, is classified as a reduction of net sales, unless specific criteria are met regarding goods or services that the Company may receive in return for this consideration. The Company makes various payments to customers, including rebates, slotting fees, advertising allowances, buy-downs and co-op advertising. All of these payments reduce gross sales with the exception of co-op advertising. Co-op advertising expenses, classified as a selling, general and administrative expense, were $17.5 million in 2025, $13.2 million in 2024, and $11.6 million in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warrants certain qualitative attributes of its flooring products. The Company has recorded a provision for estimated warranty and related costs based on historical experience and periodically adjusts these provisions to reflect actual experience.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its long-lived asset groups, which include intangible assets such as patents and customer relationships subject to amortization, for impairment whenever events or changes in circumstances indicate that the carrying amount of such asset groups may not be recoverable. Recoverability of asset groups to be held and used is measured by a comparison of the carrying amount of long-lived assets to future undiscounted net cash flows expected to be generated by these asset groups. If such asset groups are considered to be impaired, the impairment recognized is the amount by which the carrying amount of the asset group exceeds the fair value of the asset group. Assets held for sale are reported at the lower of the carrying amount or fair value less estimated costs of disposal and are no longer depreciated.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subsidiaries that operate outside the United States generally use their local currency as the functional currency. The functional currency is translated into United States dollars for balance sheet accounts using the month end rates in effect as of the balance sheet date and average exchange rate for revenue and expense accounts for each respective period. The translation adjustments are deferred as a separate component of stockholders’ equity, within accumulated other comprehensive income (loss). Gains or losses resulting from transactions denominated in foreign currencies are included in other income or expense, within the consolidated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 (“EPS”)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earnings (loss) per share is calculated using net earnings (loss) available to common stockholders divided by the weighted-average number of shares of common stock outstanding during the year. Diluted EPS is similar to basic EPS except that the weighted-average number of shares is increased to include the number of additional common shares that would have been outstanding if the potentially dilutive common shares had been issued.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Dilutive unvested restricted shares units are included in the diluted EPS calculation using the treasury stock method.</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Computations of basic and diluted earnings (loss) per share are presented for the years ended December 31, 2025, 2024 and 2023, respectively, in the following table: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460" w:type="dxa"/>
            <w:vAlign w:val="bottom"/>
          </w:tcPr>
          <w:p>
            <w:pPr>
              <w:spacing w:after="0"/>
              <w:rPr>
                <w:sz w:val="16"/>
                <w:szCs w:val="16"/>
                <w:color w:val="auto"/>
              </w:rPr>
            </w:pPr>
          </w:p>
        </w:tc>
        <w:tc>
          <w:tcPr>
            <w:tcW w:w="14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tcPr>
          <w:p>
            <w:pPr>
              <w:jc w:val="right"/>
              <w:ind w:right="413"/>
              <w:spacing w:after="0"/>
              <w:rPr>
                <w:sz w:val="20"/>
                <w:szCs w:val="20"/>
                <w:color w:val="auto"/>
              </w:rPr>
            </w:pPr>
            <w:r>
              <w:rPr>
                <w:rFonts w:ascii="Times New Roman" w:cs="Times New Roman" w:eastAsia="Times New Roman" w:hAnsi="Times New Roman"/>
                <w:sz w:val="14"/>
                <w:szCs w:val="14"/>
                <w:color w:val="auto"/>
              </w:rPr>
              <w:t>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369.9</w:t>
            </w:r>
          </w:p>
        </w:tc>
        <w:tc>
          <w:tcPr>
            <w:tcW w:w="150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514.7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r>
      <w:tr>
        <w:trPr>
          <w:trHeight w:val="257"/>
        </w:trPr>
        <w:tc>
          <w:tcPr>
            <w:tcW w:w="57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1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1460" w:type="dxa"/>
            <w:vAlign w:val="bottom"/>
          </w:tcPr>
          <w:p>
            <w:pPr>
              <w:spacing w:after="0"/>
              <w:rPr>
                <w:sz w:val="19"/>
                <w:szCs w:val="19"/>
                <w:color w:val="auto"/>
              </w:rPr>
            </w:pPr>
          </w:p>
        </w:tc>
        <w:tc>
          <w:tcPr>
            <w:tcW w:w="1420" w:type="dxa"/>
            <w:vAlign w:val="bottom"/>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62.1</w:t>
            </w:r>
          </w:p>
        </w:tc>
        <w:tc>
          <w:tcPr>
            <w:tcW w:w="150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63.3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30"/>
        </w:trPr>
        <w:tc>
          <w:tcPr>
            <w:tcW w:w="57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Add dilutive potential common shares—RSUs</w:t>
            </w:r>
            <w:r>
              <w:rPr>
                <w:rFonts w:ascii="Times New Roman" w:cs="Times New Roman" w:eastAsia="Times New Roman" w:hAnsi="Times New Roman"/>
                <w:sz w:val="23"/>
                <w:szCs w:val="23"/>
                <w:color w:val="auto"/>
                <w:vertAlign w:val="superscript"/>
              </w:rPr>
              <w:t>(1)</w:t>
            </w:r>
          </w:p>
        </w:tc>
        <w:tc>
          <w:tcPr>
            <w:tcW w:w="1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0.3</w:t>
            </w:r>
          </w:p>
        </w:tc>
        <w:tc>
          <w:tcPr>
            <w:tcW w:w="150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0.3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1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62.4</w:t>
            </w:r>
          </w:p>
        </w:tc>
        <w:tc>
          <w:tcPr>
            <w:tcW w:w="15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rPr>
              <w:t>63.6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56"/>
        </w:trPr>
        <w:tc>
          <w:tcPr>
            <w:tcW w:w="57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Mohawk Industries, Inc.</w:t>
            </w:r>
          </w:p>
        </w:tc>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7"/>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5.96</w:t>
            </w:r>
          </w:p>
        </w:tc>
        <w:tc>
          <w:tcPr>
            <w:tcW w:w="150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8.13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6"/>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5.93</w:t>
            </w:r>
          </w:p>
        </w:tc>
        <w:tc>
          <w:tcPr>
            <w:tcW w:w="15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rPr>
              <w:t>8.09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r>
    </w:tbl>
    <w:p>
      <w:pPr>
        <w:spacing w:after="0" w:line="112" w:lineRule="exact"/>
        <w:rPr>
          <w:sz w:val="20"/>
          <w:szCs w:val="20"/>
          <w:color w:val="auto"/>
        </w:rPr>
      </w:pPr>
    </w:p>
    <w:p>
      <w:pPr>
        <w:jc w:val="both"/>
        <w:ind w:firstLine="8"/>
        <w:spacing w:after="0" w:line="497" w:lineRule="auto"/>
        <w:tabs>
          <w:tab w:leader="none" w:pos="146"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There were no common stock options outstanding. Unvested RSUs were anti-dilutive in 2023 because the Company had a net loss; thus, 0.2 million shares of common stock equivalents for the year ended December 31, 2023, were omitted from the calculation of diluted weighted-average common shares outstanding. There were no unvested RSUs that were excluded from the diluted EPS computation for 2025 and 2024.</w:t>
      </w: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recognizes compensation expense for all share-based payments granted based on the grant-date fair value estimated in accordance with ASC 718-10,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Compensation expense is generally recognized on a straight-line basis over the awards’ estimated lives for fixed awards with ratable vesting provisions.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 Plans</w:t>
      </w:r>
    </w:p>
    <w:p>
      <w:pPr>
        <w:spacing w:after="0" w:line="254"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has 401(k) retirement savings plans (the “Mohawk Plan”) open to substantially all United States and Puerto Rico based employees who have completed 60 days of eligible service. The Company contributes $.50 for every $1.00 of employee contributions up to a maximum of 6% of the employee’s salary based upon each individual participants election. Employer contributions to the Mohawk Plan were $24.1 million in 2025, $24.4 million in 2024, and $23.9 million in 2023, respectively.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also has various pension plans covering employees in Belgium, France, and the Netherlands (the “Non-U.S. Plans”) within Flooring ROW. Benefits under the Non-U.S. Plans depend on compensation and years of service. The Non-U.S. Plans are funded in accordance with local regulations. The Company uses December 31 as the measurement date for its Non-U.S. Plans. The Company’s projected benefit obligation and plan assets as of December 31, 2025, were $93.3 million and $88.0 million, respectively. The Company’s projected benefit obligation and plan assets as of December 31, 2024, were $81.4 million and $75.5 million, respectively. As of December 31, 2025, the funded status of the Non-U.S. Plans was a liability of $5.8 million of which $(0.5) million was recorded in accumulated other comprehensive income (loss), for a net liability of $6.3 million recorded in other long-term liabilities within the consolidated balance sheets. As of December 31, 2024, the funded status of the Non-U.S. Plans was a liability of $5.8 million of which $0.4 million was recorded in accumulated other comprehensive income (loss), for a net liability of $5.4 million recorded in other long-term liabilities within the consolidated balance sheets.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Comprehensive income (loss) includes foreign currency translation of assets and liabilities of foreign subsidiaries, effects of exchange rate changes on intercompany balances of a long-term nature and pension and post-retirement benefit service cost. The Company does not provide income taxes on currency translation adjustments, as earnings from foreign subsidiaries are considered to be indefinitely reinvested. The Company presents currency translation adjustments on noncontrolling interests separately from currency translation adjustments on controlling interests in accumulated other comprehensive income (loss) within stockholders’ equity.</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by component, net of tax, for the years ended December 31, 2025, 2024 and 2023 are as follows:</w:t>
      </w:r>
    </w:p>
    <w:p>
      <w:pPr>
        <w:spacing w:after="0" w:line="66"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4"/>
          <w:szCs w:val="14"/>
          <w:color w:val="auto"/>
        </w:rPr>
        <w:t>Prior Pension and</w:t>
      </w:r>
    </w:p>
    <w:p>
      <w:pPr>
        <w:jc w:val="right"/>
        <w:ind w:right="1620"/>
        <w:spacing w:after="0" w:line="221" w:lineRule="auto"/>
        <w:rPr>
          <w:sz w:val="20"/>
          <w:szCs w:val="20"/>
          <w:color w:val="auto"/>
        </w:rPr>
      </w:pPr>
      <w:r>
        <w:rPr>
          <w:rFonts w:ascii="Times New Roman" w:cs="Times New Roman" w:eastAsia="Times New Roman" w:hAnsi="Times New Roman"/>
          <w:sz w:val="14"/>
          <w:szCs w:val="14"/>
          <w:color w:val="auto"/>
        </w:rPr>
        <w:t>Post-Retirement</w:t>
      </w:r>
    </w:p>
    <w:tbl>
      <w:tblPr>
        <w:tblLayout w:type="fixed"/>
        <w:tblInd w:w="0" w:type="dxa"/>
        <w:tblCellMar>
          <w:top w:w="0" w:type="dxa"/>
          <w:left w:w="0" w:type="dxa"/>
          <w:bottom w:w="0" w:type="dxa"/>
          <w:right w:w="0" w:type="dxa"/>
        </w:tblCellMar>
      </w:tblPr>
      <w:tr>
        <w:trPr>
          <w:trHeight w:val="128"/>
        </w:trPr>
        <w:tc>
          <w:tcPr>
            <w:tcW w:w="5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380" w:type="dxa"/>
            <w:vAlign w:val="bottom"/>
          </w:tcPr>
          <w:p>
            <w:pPr>
              <w:jc w:val="right"/>
              <w:ind w:right="155"/>
              <w:spacing w:after="0" w:line="129" w:lineRule="exact"/>
              <w:rPr>
                <w:sz w:val="20"/>
                <w:szCs w:val="20"/>
                <w:color w:val="auto"/>
              </w:rPr>
            </w:pPr>
            <w:r>
              <w:rPr>
                <w:rFonts w:ascii="Times New Roman" w:cs="Times New Roman" w:eastAsia="Times New Roman" w:hAnsi="Times New Roman"/>
                <w:sz w:val="14"/>
                <w:szCs w:val="14"/>
                <w:color w:val="auto"/>
              </w:rPr>
              <w:t>Foreign Currency</w:t>
            </w:r>
          </w:p>
        </w:tc>
        <w:tc>
          <w:tcPr>
            <w:tcW w:w="1780" w:type="dxa"/>
            <w:vAlign w:val="bottom"/>
          </w:tcPr>
          <w:p>
            <w:pPr>
              <w:jc w:val="right"/>
              <w:ind w:right="395"/>
              <w:spacing w:after="0" w:line="129" w:lineRule="exact"/>
              <w:rPr>
                <w:sz w:val="20"/>
                <w:szCs w:val="20"/>
                <w:color w:val="auto"/>
              </w:rPr>
            </w:pPr>
            <w:r>
              <w:rPr>
                <w:rFonts w:ascii="Times New Roman" w:cs="Times New Roman" w:eastAsia="Times New Roman" w:hAnsi="Times New Roman"/>
                <w:sz w:val="14"/>
                <w:szCs w:val="14"/>
                <w:color w:val="auto"/>
              </w:rPr>
              <w:t>Benefit Service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1760" w:type="dxa"/>
            <w:vAlign w:val="bottom"/>
          </w:tcPr>
          <w:p>
            <w:pPr>
              <w:spacing w:after="0"/>
              <w:rPr>
                <w:sz w:val="12"/>
                <w:szCs w:val="12"/>
                <w:color w:val="auto"/>
              </w:rPr>
            </w:pPr>
          </w:p>
        </w:tc>
        <w:tc>
          <w:tcPr>
            <w:tcW w:w="1380" w:type="dxa"/>
            <w:vAlign w:val="bottom"/>
          </w:tcPr>
          <w:p>
            <w:pPr>
              <w:jc w:val="right"/>
              <w:ind w:right="155"/>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780" w:type="dxa"/>
            <w:vAlign w:val="bottom"/>
          </w:tcPr>
          <w:p>
            <w:pPr>
              <w:jc w:val="right"/>
              <w:ind w:right="395"/>
              <w:spacing w:after="0" w:line="149" w:lineRule="exact"/>
              <w:rPr>
                <w:sz w:val="20"/>
                <w:szCs w:val="20"/>
                <w:color w:val="auto"/>
              </w:rPr>
            </w:pPr>
            <w:r>
              <w:rPr>
                <w:rFonts w:ascii="Times New Roman" w:cs="Times New Roman" w:eastAsia="Times New Roman" w:hAnsi="Times New Roman"/>
                <w:sz w:val="14"/>
                <w:szCs w:val="14"/>
                <w:color w:val="auto"/>
              </w:rPr>
              <w:t>Cost and Actuarial</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vMerge w:val="continue"/>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Adjustments</w:t>
            </w:r>
          </w:p>
        </w:tc>
        <w:tc>
          <w:tcPr>
            <w:tcW w:w="1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Gain (Loss)</w:t>
            </w: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(1,114.6)</w:t>
            </w:r>
          </w:p>
        </w:tc>
        <w:tc>
          <w:tcPr>
            <w:tcW w:w="178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0.3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for the period</w:t>
            </w:r>
          </w:p>
        </w:tc>
        <w:tc>
          <w:tcPr>
            <w:tcW w:w="17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35.3</w:t>
            </w:r>
          </w:p>
        </w:tc>
        <w:tc>
          <w:tcPr>
            <w:tcW w:w="1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7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(1,079.3)</w:t>
            </w:r>
          </w:p>
        </w:tc>
        <w:tc>
          <w:tcPr>
            <w:tcW w:w="17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for the period</w:t>
            </w:r>
          </w:p>
        </w:tc>
        <w:tc>
          <w:tcPr>
            <w:tcW w:w="17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(447.9)</w:t>
            </w:r>
          </w:p>
        </w:tc>
        <w:tc>
          <w:tcPr>
            <w:tcW w:w="17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7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(1,527.2)</w:t>
            </w:r>
          </w:p>
        </w:tc>
        <w:tc>
          <w:tcPr>
            <w:tcW w:w="17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17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618.6</w:t>
            </w:r>
          </w:p>
        </w:tc>
        <w:tc>
          <w:tcPr>
            <w:tcW w:w="17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8"/>
                <w:szCs w:val="18"/>
                <w:b w:val="1"/>
                <w:bCs w:val="1"/>
                <w:color w:val="auto"/>
              </w:rPr>
              <w:t>1.4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620.0</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(908.6)</w:t>
            </w:r>
          </w:p>
        </w:tc>
        <w:tc>
          <w:tcPr>
            <w:tcW w:w="178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b w:val="1"/>
                <w:bCs w:val="1"/>
                <w:color w:val="auto"/>
              </w:rPr>
              <w:t>0.7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 Reserves</w:t>
      </w:r>
    </w:p>
    <w:p>
      <w:pPr>
        <w:spacing w:after="0" w:line="3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self-insured in the United States for various levels of general liability, automobile liability, workers’ compensation and employee medical coverage. Insurance reserves are primarily calculated on an undiscounted basis based on actual claim data and estimates of incurred but not reported claims developed utilizing historical claim trends. Projected settlements and incurred but not reported claims are estimated based on pending claims and historical trends and data. Though the Company does not expect them to do so, actual settlements and claims could differ materially from those estimated. Material differences in actual settlements and claims could have an adverse effect on the Company’s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wholly-owned captive insurance company, Mohawk Assurance Services, Inc. (“MAS”). MAS insures the retained portion of the Company’s United States general liability, automobile liability, workers’ compensation exposures, pandemic, terrorism and medical coverage to MAS.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ends its fiscal year on December 31. Each of the first three quarters in the fiscal year ends on the Saturday nearest the calendar quarter end with a thirteen-week fiscal quarter.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Recently Adopted</w:t>
      </w:r>
    </w:p>
    <w:p>
      <w:pPr>
        <w:spacing w:after="0" w:line="23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applies to all entities subject to income taxes. The standard requires disaggregated information about a reporting entity’s effective tax rate reconciliation as well as information on income taxes paid. The standard also updates the quarterly disclosure requirements for supplemental cash flows information to require disclosure of income taxes paid, net of refunds received. The standard is intended to benefit investors by providing more detailed income tax disclosures that would be useful in making capital allocation decisions. For public business entities, this standard became effective for annual periods beginning after December 15, 2024. The Company adopted the new standard on a prospective basis as disclosed in Note 14.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in Future Years</w:t>
      </w:r>
    </w:p>
    <w:p>
      <w:pPr>
        <w:spacing w:after="0" w:line="23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On November 4, 2024, the FASB issued ASU 2024-03, </w:t>
      </w:r>
      <w:r>
        <w:rPr>
          <w:rFonts w:ascii="Times New Roman" w:cs="Times New Roman" w:eastAsia="Times New Roman" w:hAnsi="Times New Roman"/>
          <w:sz w:val="18"/>
          <w:szCs w:val="18"/>
          <w:i w:val="1"/>
          <w:iCs w:val="1"/>
          <w:color w:val="auto"/>
        </w:rPr>
        <w:t>Disaggregation of income statement expense.</w:t>
      </w:r>
      <w:r>
        <w:rPr>
          <w:rFonts w:ascii="Times New Roman" w:cs="Times New Roman" w:eastAsia="Times New Roman" w:hAnsi="Times New Roman"/>
          <w:sz w:val="18"/>
          <w:szCs w:val="18"/>
          <w:color w:val="auto"/>
        </w:rPr>
        <w:t xml:space="preserve"> ASU 2024-03, as amended by ASU 2025-01, </w:t>
      </w:r>
      <w:r>
        <w:rPr>
          <w:rFonts w:ascii="Times New Roman" w:cs="Times New Roman" w:eastAsia="Times New Roman" w:hAnsi="Times New Roman"/>
          <w:sz w:val="18"/>
          <w:szCs w:val="18"/>
          <w:i w:val="1"/>
          <w:iCs w:val="1"/>
          <w:color w:val="auto"/>
        </w:rPr>
        <w:t>Income Statement – Reporting Comprehensive Income – Expense Disaggregation Disclosures (Subtopic 220-40): Clarifying the Effective Date</w:t>
      </w:r>
      <w:r>
        <w:rPr>
          <w:rFonts w:ascii="Times New Roman" w:cs="Times New Roman" w:eastAsia="Times New Roman" w:hAnsi="Times New Roman"/>
          <w:sz w:val="18"/>
          <w:szCs w:val="18"/>
          <w:color w:val="auto"/>
        </w:rPr>
        <w:t>,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The amendments in this update are effective for annual reporting periods beginning after December 15, 2026, and interim reporting periods beginning after December 15, 2027. Early adoption is permitted. The Company is currently evaluating the impact of the new guidance.</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November 26, 2024, the FASB issued ASU 2024-04, </w:t>
      </w:r>
      <w:r>
        <w:rPr>
          <w:rFonts w:ascii="Times New Roman" w:cs="Times New Roman" w:eastAsia="Times New Roman" w:hAnsi="Times New Roman"/>
          <w:sz w:val="18"/>
          <w:szCs w:val="18"/>
          <w:i w:val="1"/>
          <w:iCs w:val="1"/>
          <w:color w:val="auto"/>
        </w:rPr>
        <w:t>Induced Conversions of Convertible Debt Instruments,</w:t>
      </w:r>
      <w:r>
        <w:rPr>
          <w:rFonts w:ascii="Times New Roman" w:cs="Times New Roman" w:eastAsia="Times New Roman" w:hAnsi="Times New Roman"/>
          <w:sz w:val="18"/>
          <w:szCs w:val="18"/>
          <w:color w:val="auto"/>
        </w:rPr>
        <w:t xml:space="preserve"> which clarifies the requirements for determining whether certain settlements of convertible debt instruments should be accounted for as an induced conversion. The amendments in this Update are effective for annual reporting periods beginning after December 15, 2025, and interim reporting periods within those annual reporting periods. Early adoption is permitted for all entities that have adopted the amendments in ASU 2020-06, and reporting entities can choose either a prospective or retrospective transition approach. The Company is currently evaluating the impact of the new guidance.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30, 2025, the FASB issued ASU 2025-05, Financial Instruments—</w:t>
      </w:r>
      <w:r>
        <w:rPr>
          <w:rFonts w:ascii="Times New Roman" w:cs="Times New Roman" w:eastAsia="Times New Roman" w:hAnsi="Times New Roman"/>
          <w:sz w:val="18"/>
          <w:szCs w:val="18"/>
          <w:i w:val="1"/>
          <w:iCs w:val="1"/>
          <w:color w:val="auto"/>
        </w:rPr>
        <w:t>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which provides a practical expedient that allows public entities to assume that current conditions as of the balance sheet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will not change for the remaining life of the asset. That is, current information may be used without making adjustments for expected future changes to relevant data that may impact collectability of receivables. Entities using the practical expedient would have to disclose that fact. The amendments in this Update are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An entity that elects the practical expedient should apply the amendments on a prospective basis. The Company is currently evaluating the impact of the new guidance.</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September 19,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removes all references to software development project stages, and requires entities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start capitalizing software costs when management has authorized and committed to funding the software project and it is probable that the project will be completed and the software will be used to perform its intended function. The new guidance requires entities to consider two factors when determining whether there is significant development uncertainty when considering the probable to complete recognition threshold; (1) Whether the software being developed has technological innovations or novel, unique, or unproven functions or features, and the uncertainty related to those technological innovations, functions, or features, if identified, has not been resolved through coding and testing; and (2) whether the entity has determined what it needs the software to do (for example, functions or features), including whether the entity has identified or continues to substantially revise the software’s significant performance requirements. The new guidance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supersedes the website development costs guidance and incorporates the recognition requirements for website-specific development costs from Subtopic 350-50 into Subtopic 350-40.</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ASU 2025-06 will be effective for annual and interim reporting periods beginning after December 15, 2027, and early adoption is permitted as of the beginning of an annual reporting period. The new guidance may be implemented on a prospective basis, a modified transition approach, or a retrospective transition approach. The Company is evaluating the impact of the new guidance.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Acquisitions</w:t>
      </w:r>
    </w:p>
    <w:p>
      <w:pPr>
        <w:spacing w:after="0" w:line="24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During 2025, the Company completed acquisitions in Flooring NA for $7.4 million, including $0.5 million of cash acquired, subject to pending working capital adjustments. The Company is in the process of measuring the fair value of the assets acquired and liabilities assumed and expects the valuation to be completed before the end of the measurement period. The Company has recognized a preliminary goodwill balance of $7.6 million, and intangible assets of $1.3 million. The goodwill is expected to be deductible for tax purposes.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contract liabilities when it receives payment prior to fulfilling a performance obligation. Contract liabilities related to revenues are recorded in accounts payable and accrued expenses on the accompanying consolidated balance sheets. The Company had contract liabilities of $74.3 million and $63.4 million as of December 31, 2025, and December 31, 2024,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is recognized at a point in time when the product is either shipped or received from the Company’s facilities and control of the product is transferred to the customer. Accordingly, in any period, the Company does not recognize a significant amount of revenue from performance obligations satisfied or partially satisfied in prior periods and the amount of such revenue recognized during the years ended December 31, 2025, 2024, and 2023 was immaterial.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incurs certain incremental costs to obtain revenue contracts. These costs relate to marketing display structures and are capitalized when the amortization period is greater than one year, with the amount recorded in other assets on the accompanying consolidated balance sheets. Capitalized costs to obtain contracts were $58.8 million and $61.4 million as of December 31, 2025, and December 31, 2024, respectively. Straight-line amortization expense recognized during 2025, 2024 and 2023 related to these capitalized costs were $42.5 million, $59.5 million and $61.3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Disaggregation</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segment revenues disaggregated by the geographical market location of customer sales and product categories during the years ended December 31, 2025, 2024 and 2023,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300" w:type="dxa"/>
            <w:vAlign w:val="bottom"/>
          </w:tcPr>
          <w:p>
            <w:pPr>
              <w:spacing w:after="0"/>
              <w:rPr>
                <w:sz w:val="17"/>
                <w:szCs w:val="17"/>
                <w:color w:val="auto"/>
              </w:rPr>
            </w:pP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Global Ceramic</w:t>
            </w:r>
          </w:p>
        </w:tc>
        <w:tc>
          <w:tcPr>
            <w:tcW w:w="12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Flooring NA</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Flooring ROW</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38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Geographical Markets:</w:t>
            </w:r>
          </w:p>
        </w:tc>
        <w:tc>
          <w:tcPr>
            <w:tcW w:w="2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2,255.4</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3,544.7</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13.8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5,813.9</w:t>
            </w:r>
          </w:p>
        </w:tc>
      </w:tr>
      <w:tr>
        <w:trPr>
          <w:trHeight w:val="230"/>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2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1,173.5</w:t>
            </w:r>
          </w:p>
        </w:tc>
        <w:tc>
          <w:tcPr>
            <w:tcW w:w="12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3.1</w:t>
            </w:r>
          </w:p>
        </w:tc>
        <w:tc>
          <w:tcPr>
            <w:tcW w:w="14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2,190.0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3,366.6</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300" w:type="dxa"/>
            <w:vAlign w:val="bottom"/>
          </w:tcPr>
          <w:p>
            <w:pPr>
              <w:spacing w:after="0"/>
              <w:rPr>
                <w:sz w:val="19"/>
                <w:szCs w:val="19"/>
                <w:color w:val="auto"/>
              </w:rPr>
            </w:pP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685.7</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5.3</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37.0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728.0</w:t>
            </w:r>
          </w:p>
        </w:tc>
      </w:tr>
      <w:tr>
        <w:trPr>
          <w:trHeight w:val="229"/>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174.8</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85.4</w:t>
            </w:r>
          </w:p>
        </w:tc>
        <w:tc>
          <w:tcPr>
            <w:tcW w:w="1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616.7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876.9</w:t>
            </w:r>
          </w:p>
        </w:tc>
      </w:tr>
      <w:tr>
        <w:trPr>
          <w:trHeight w:val="23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4,289.4</w:t>
            </w:r>
          </w:p>
        </w:tc>
        <w:tc>
          <w:tcPr>
            <w:tcW w:w="12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3,638.5</w:t>
            </w:r>
          </w:p>
        </w:tc>
        <w:tc>
          <w:tcPr>
            <w:tcW w:w="14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2,857.5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10,785.4</w:t>
            </w:r>
          </w:p>
        </w:tc>
      </w:tr>
      <w:tr>
        <w:trPr>
          <w:trHeight w:val="243"/>
        </w:trPr>
        <w:tc>
          <w:tcPr>
            <w:tcW w:w="386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Product Categories:</w:t>
            </w:r>
          </w:p>
        </w:tc>
        <w:tc>
          <w:tcPr>
            <w:tcW w:w="2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Ceramic &amp; Stone</w:t>
            </w:r>
          </w:p>
        </w:tc>
        <w:tc>
          <w:tcPr>
            <w:tcW w:w="2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4,220.1</w:t>
            </w:r>
          </w:p>
        </w:tc>
        <w:tc>
          <w:tcPr>
            <w:tcW w:w="12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4,220.1</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Carpet &amp; Resilient</w:t>
            </w:r>
          </w:p>
        </w:tc>
        <w:tc>
          <w:tcPr>
            <w:tcW w:w="2300" w:type="dxa"/>
            <w:vAlign w:val="bottom"/>
          </w:tcPr>
          <w:p>
            <w:pPr>
              <w:spacing w:after="0"/>
              <w:rPr>
                <w:sz w:val="19"/>
                <w:szCs w:val="19"/>
                <w:color w:val="auto"/>
              </w:rPr>
            </w:pP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69.3</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2,842.7</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822.8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3,734.8</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Laminate &amp; Wood</w:t>
            </w:r>
          </w:p>
        </w:tc>
        <w:tc>
          <w:tcPr>
            <w:tcW w:w="2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795.8</w:t>
            </w:r>
          </w:p>
        </w:tc>
        <w:tc>
          <w:tcPr>
            <w:tcW w:w="14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956.5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1,752.3</w:t>
            </w:r>
          </w:p>
        </w:tc>
      </w:tr>
      <w:tr>
        <w:trPr>
          <w:trHeight w:val="230"/>
        </w:trPr>
        <w:tc>
          <w:tcPr>
            <w:tcW w:w="38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2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1,078.2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1,078.2</w:t>
            </w: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4,289.4</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3,638.5</w:t>
            </w:r>
          </w:p>
        </w:tc>
        <w:tc>
          <w:tcPr>
            <w:tcW w:w="1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2,857.5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10,785.4</w:t>
            </w:r>
          </w:p>
        </w:tc>
      </w:tr>
      <w:tr>
        <w:trPr>
          <w:trHeight w:val="287"/>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30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Global Ceramic</w:t>
            </w:r>
          </w:p>
        </w:tc>
        <w:tc>
          <w:tcPr>
            <w:tcW w:w="12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Flooring NA</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Flooring ROW</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38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Geographical Markets:</w:t>
            </w:r>
          </w:p>
        </w:tc>
        <w:tc>
          <w:tcPr>
            <w:tcW w:w="2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2,280.1</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3,650.7</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8.7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5,939.5</w:t>
            </w:r>
          </w:p>
        </w:tc>
      </w:tr>
      <w:tr>
        <w:trPr>
          <w:trHeight w:val="230"/>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2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1,058.3</w:t>
            </w:r>
          </w:p>
        </w:tc>
        <w:tc>
          <w:tcPr>
            <w:tcW w:w="12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2,131.9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3,194.3</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300" w:type="dxa"/>
            <w:vAlign w:val="bottom"/>
          </w:tcPr>
          <w:p>
            <w:pPr>
              <w:spacing w:after="0"/>
              <w:rPr>
                <w:sz w:val="19"/>
                <w:szCs w:val="19"/>
                <w:color w:val="auto"/>
              </w:rPr>
            </w:pP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707.7</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5.6</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37.2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w:t>
            </w: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180.5</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109.5</w:t>
            </w:r>
          </w:p>
        </w:tc>
        <w:tc>
          <w:tcPr>
            <w:tcW w:w="1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662.6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w:t>
            </w:r>
          </w:p>
        </w:tc>
      </w:tr>
      <w:tr>
        <w:trPr>
          <w:trHeight w:val="23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4,226.6</w:t>
            </w:r>
          </w:p>
        </w:tc>
        <w:tc>
          <w:tcPr>
            <w:tcW w:w="12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3,769.9</w:t>
            </w:r>
          </w:p>
        </w:tc>
        <w:tc>
          <w:tcPr>
            <w:tcW w:w="14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2,840.4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10,836.9</w:t>
            </w:r>
          </w:p>
        </w:tc>
      </w:tr>
      <w:tr>
        <w:trPr>
          <w:trHeight w:val="243"/>
        </w:trPr>
        <w:tc>
          <w:tcPr>
            <w:tcW w:w="386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Product Categories:</w:t>
            </w:r>
          </w:p>
        </w:tc>
        <w:tc>
          <w:tcPr>
            <w:tcW w:w="2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Ceramic &amp; Stone</w:t>
            </w:r>
          </w:p>
        </w:tc>
        <w:tc>
          <w:tcPr>
            <w:tcW w:w="2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4,166.2</w:t>
            </w:r>
          </w:p>
        </w:tc>
        <w:tc>
          <w:tcPr>
            <w:tcW w:w="12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19.1</w:t>
            </w:r>
          </w:p>
        </w:tc>
        <w:tc>
          <w:tcPr>
            <w:tcW w:w="14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4,185.3</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Carpet &amp; Resilient</w:t>
            </w:r>
          </w:p>
        </w:tc>
        <w:tc>
          <w:tcPr>
            <w:tcW w:w="2300" w:type="dxa"/>
            <w:vAlign w:val="bottom"/>
          </w:tcPr>
          <w:p>
            <w:pPr>
              <w:spacing w:after="0"/>
              <w:rPr>
                <w:sz w:val="19"/>
                <w:szCs w:val="19"/>
                <w:color w:val="auto"/>
              </w:rPr>
            </w:pP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60.4</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2,941.3</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864.8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3,866.5</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Laminate &amp; Wood</w:t>
            </w:r>
          </w:p>
        </w:tc>
        <w:tc>
          <w:tcPr>
            <w:tcW w:w="2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809.5</w:t>
            </w:r>
          </w:p>
        </w:tc>
        <w:tc>
          <w:tcPr>
            <w:tcW w:w="14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919.4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1,728.9</w:t>
            </w:r>
          </w:p>
        </w:tc>
      </w:tr>
      <w:tr>
        <w:trPr>
          <w:trHeight w:val="230"/>
        </w:trPr>
        <w:tc>
          <w:tcPr>
            <w:tcW w:w="38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2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1,056.2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1,056.2</w:t>
            </w: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4,226.6</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3,769.9</w:t>
            </w:r>
          </w:p>
        </w:tc>
        <w:tc>
          <w:tcPr>
            <w:tcW w:w="1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2,840.4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300" w:type="dxa"/>
            <w:vAlign w:val="bottom"/>
          </w:tcPr>
          <w:p>
            <w:pPr>
              <w:spacing w:after="0"/>
              <w:rPr>
                <w:sz w:val="16"/>
                <w:szCs w:val="16"/>
                <w:color w:val="auto"/>
              </w:rPr>
            </w:pP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Global Ceramic</w:t>
            </w:r>
          </w:p>
        </w:tc>
        <w:tc>
          <w:tcPr>
            <w:tcW w:w="12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Flooring NA</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Flooring ROW</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38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Geographical Markets:</w:t>
            </w:r>
          </w:p>
        </w:tc>
        <w:tc>
          <w:tcPr>
            <w:tcW w:w="2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2,320.0</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3,713.3</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6,040.0</w:t>
            </w:r>
          </w:p>
        </w:tc>
      </w:tr>
      <w:tr>
        <w:trPr>
          <w:trHeight w:val="229"/>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2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1,071.7</w:t>
            </w:r>
          </w:p>
        </w:tc>
        <w:tc>
          <w:tcPr>
            <w:tcW w:w="12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2,304.9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3,381.0</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300" w:type="dxa"/>
            <w:vAlign w:val="bottom"/>
          </w:tcPr>
          <w:p>
            <w:pPr>
              <w:spacing w:after="0"/>
              <w:rPr>
                <w:sz w:val="19"/>
                <w:szCs w:val="19"/>
                <w:color w:val="auto"/>
              </w:rPr>
            </w:pP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730.3</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3.8</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33.7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r>
      <w:tr>
        <w:trPr>
          <w:trHeight w:val="229"/>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178.1</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107.9</w:t>
            </w:r>
          </w:p>
        </w:tc>
        <w:tc>
          <w:tcPr>
            <w:tcW w:w="1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660.3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w:t>
            </w:r>
          </w:p>
        </w:tc>
      </w:tr>
      <w:tr>
        <w:trPr>
          <w:trHeight w:val="23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4,300.1</w:t>
            </w:r>
          </w:p>
        </w:tc>
        <w:tc>
          <w:tcPr>
            <w:tcW w:w="12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3,829.4</w:t>
            </w:r>
          </w:p>
        </w:tc>
        <w:tc>
          <w:tcPr>
            <w:tcW w:w="14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3,005.6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11,135.1</w:t>
            </w:r>
          </w:p>
        </w:tc>
      </w:tr>
      <w:tr>
        <w:trPr>
          <w:trHeight w:val="243"/>
        </w:trPr>
        <w:tc>
          <w:tcPr>
            <w:tcW w:w="386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Product Categories:</w:t>
            </w:r>
          </w:p>
        </w:tc>
        <w:tc>
          <w:tcPr>
            <w:tcW w:w="2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Ceramic &amp; Stone</w:t>
            </w:r>
          </w:p>
        </w:tc>
        <w:tc>
          <w:tcPr>
            <w:tcW w:w="2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4,258.9</w:t>
            </w:r>
          </w:p>
        </w:tc>
        <w:tc>
          <w:tcPr>
            <w:tcW w:w="12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34.2</w:t>
            </w:r>
          </w:p>
        </w:tc>
        <w:tc>
          <w:tcPr>
            <w:tcW w:w="14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4,293.1</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Carpet &amp; Resilient</w:t>
            </w:r>
          </w:p>
        </w:tc>
        <w:tc>
          <w:tcPr>
            <w:tcW w:w="2300" w:type="dxa"/>
            <w:vAlign w:val="bottom"/>
          </w:tcPr>
          <w:p>
            <w:pPr>
              <w:spacing w:after="0"/>
              <w:rPr>
                <w:sz w:val="19"/>
                <w:szCs w:val="19"/>
                <w:color w:val="auto"/>
              </w:rPr>
            </w:pP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41.2</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3,021.1</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893.0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3,955.3</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Laminate &amp; Wood</w:t>
            </w:r>
          </w:p>
        </w:tc>
        <w:tc>
          <w:tcPr>
            <w:tcW w:w="2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774.1</w:t>
            </w:r>
          </w:p>
        </w:tc>
        <w:tc>
          <w:tcPr>
            <w:tcW w:w="14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958.5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1,732.6</w:t>
            </w:r>
          </w:p>
        </w:tc>
      </w:tr>
      <w:tr>
        <w:trPr>
          <w:trHeight w:val="229"/>
        </w:trPr>
        <w:tc>
          <w:tcPr>
            <w:tcW w:w="38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2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1,154.1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1,154.1</w:t>
            </w: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4,300.1</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3,829.4</w:t>
            </w:r>
          </w:p>
        </w:tc>
        <w:tc>
          <w:tcPr>
            <w:tcW w:w="1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3,005.6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11,135.1</w:t>
            </w:r>
          </w:p>
        </w:tc>
      </w:tr>
    </w:tbl>
    <w:p>
      <w:pPr>
        <w:spacing w:after="0" w:line="96"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Russia revenue included in Europe.</w:t>
      </w:r>
    </w:p>
    <w:p>
      <w:pPr>
        <w:spacing w:after="0" w:line="43"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includes roofing elements, insulation boards, chipboards and IP contracts.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Acquisition and Integration-Related Costs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incurs costs in connection with acquiring, integrating and restructuring acquisitions and in connection with its global cost-reduction/productivity initiatives. For example:</w:t>
      </w:r>
    </w:p>
    <w:p>
      <w:pPr>
        <w:spacing w:after="0" w:line="189" w:lineRule="exact"/>
        <w:rPr>
          <w:sz w:val="20"/>
          <w:szCs w:val="20"/>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 activity, the Company typically incurs costs associated with executing the transactions, integrating the acquired operations (which may include expenditures for consulting and the integration of systems and processes), and restructuring the combined company (which may include charges related to employees, assets and activities that will not continue in the combined company);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Company’s cost-reduction/productivity initiatives, it typically incurs costs and charges associated with site closings and other facility rationalization actions, including accelerated depreciation ("asset write-downs") and workforce reductions.</w:t>
      </w:r>
    </w:p>
    <w:p>
      <w:pPr>
        <w:spacing w:after="0" w:line="18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Restructuring, acquisition and integration-related costs consisted of the following during the year ended December 31, 2025, 2024 and 2023, respectively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00" w:type="dxa"/>
            <w:vAlign w:val="bottom"/>
          </w:tcPr>
          <w:p>
            <w:pPr>
              <w:spacing w:after="0"/>
              <w:rPr>
                <w:sz w:val="16"/>
                <w:szCs w:val="16"/>
                <w:color w:val="auto"/>
              </w:rPr>
            </w:pPr>
          </w:p>
        </w:tc>
        <w:tc>
          <w:tcPr>
            <w:tcW w:w="13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tc>
        <w:tc>
          <w:tcPr>
            <w:tcW w:w="16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141.7</w:t>
            </w: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79.6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30"/>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integration-related costs</w:t>
            </w:r>
          </w:p>
        </w:tc>
        <w:tc>
          <w:tcPr>
            <w:tcW w:w="1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acquisition integration-related costs</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141.7</w:t>
            </w:r>
          </w:p>
        </w:tc>
        <w:tc>
          <w:tcPr>
            <w:tcW w:w="13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79.7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95"/>
        </w:trPr>
        <w:tc>
          <w:tcPr>
            <w:tcW w:w="594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1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10.9</w:t>
            </w:r>
          </w:p>
        </w:tc>
        <w:tc>
          <w:tcPr>
            <w:tcW w:w="138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13.0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transaction-related costs</w:t>
            </w:r>
          </w:p>
        </w:tc>
        <w:tc>
          <w:tcPr>
            <w:tcW w:w="1600" w:type="dxa"/>
            <w:vAlign w:val="bottom"/>
          </w:tcPr>
          <w:p>
            <w:pPr>
              <w:spacing w:after="0"/>
              <w:rPr>
                <w:sz w:val="19"/>
                <w:szCs w:val="19"/>
                <w:color w:val="auto"/>
              </w:rPr>
            </w:pPr>
          </w:p>
        </w:tc>
        <w:tc>
          <w:tcPr>
            <w:tcW w:w="13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0.7</w:t>
            </w: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integration-related costs</w:t>
            </w:r>
          </w:p>
        </w:tc>
        <w:tc>
          <w:tcPr>
            <w:tcW w:w="1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Restructuring, acquisition transaction and integration-related costs</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11.6</w:t>
            </w:r>
          </w:p>
        </w:tc>
        <w:tc>
          <w:tcPr>
            <w:tcW w:w="13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14.4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2022 and 2023, the Company implemented a number of restructuring actions, productivity initiatives and manufacturing enhancements focused on reducing costs to enhance future performance, including certain facility, asset and product rationalizations and workforce reductions. In 2024 and 2025, the Company announced further restructuring actions to take advantage of additional opportunities related to the activities described above.</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restructuring activity for the years ended December 31, 2025, and 2024, respectively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Asset Write-</w:t>
            </w:r>
          </w:p>
        </w:tc>
        <w:tc>
          <w:tcPr>
            <w:tcW w:w="1320" w:type="dxa"/>
            <w:vAlign w:val="bottom"/>
          </w:tcPr>
          <w:p>
            <w:pPr>
              <w:spacing w:after="0"/>
              <w:rPr>
                <w:sz w:val="13"/>
                <w:szCs w:val="13"/>
                <w:color w:val="auto"/>
              </w:rPr>
            </w:pPr>
          </w:p>
        </w:tc>
        <w:tc>
          <w:tcPr>
            <w:tcW w:w="158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color w:val="auto"/>
              </w:rPr>
              <w:t>Lease</w:t>
            </w:r>
          </w:p>
        </w:tc>
        <w:tc>
          <w:tcPr>
            <w:tcW w:w="1500" w:type="dxa"/>
            <w:vAlign w:val="bottom"/>
          </w:tcPr>
          <w:p>
            <w:pPr>
              <w:jc w:val="right"/>
              <w:ind w:right="333"/>
              <w:spacing w:after="0" w:line="149" w:lineRule="exact"/>
              <w:rPr>
                <w:sz w:val="20"/>
                <w:szCs w:val="20"/>
                <w:color w:val="auto"/>
              </w:rPr>
            </w:pPr>
            <w:r>
              <w:rPr>
                <w:rFonts w:ascii="Times New Roman" w:cs="Times New Roman" w:eastAsia="Times New Roman" w:hAnsi="Times New Roman"/>
                <w:sz w:val="14"/>
                <w:szCs w:val="14"/>
                <w:color w:val="auto"/>
              </w:rPr>
              <w:t>Downs</w:t>
            </w:r>
          </w:p>
        </w:tc>
        <w:tc>
          <w:tcPr>
            <w:tcW w:w="13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500" w:type="dxa"/>
            <w:vAlign w:val="bottom"/>
          </w:tcPr>
          <w:p>
            <w:pPr>
              <w:jc w:val="right"/>
              <w:ind w:right="373"/>
              <w:spacing w:after="0" w:line="149" w:lineRule="exact"/>
              <w:rPr>
                <w:sz w:val="20"/>
                <w:szCs w:val="20"/>
                <w:color w:val="auto"/>
              </w:rPr>
            </w:pPr>
            <w:r>
              <w:rPr>
                <w:rFonts w:ascii="Times New Roman" w:cs="Times New Roman" w:eastAsia="Times New Roman" w:hAnsi="Times New Roman"/>
                <w:sz w:val="14"/>
                <w:szCs w:val="14"/>
                <w:color w:val="auto"/>
              </w:rPr>
              <w:t>(Gains on</w:t>
            </w:r>
          </w:p>
        </w:tc>
        <w:tc>
          <w:tcPr>
            <w:tcW w:w="132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Severance</w:t>
            </w:r>
          </w:p>
        </w:tc>
        <w:tc>
          <w:tcPr>
            <w:tcW w:w="1580" w:type="dxa"/>
            <w:vAlign w:val="bottom"/>
          </w:tcPr>
          <w:p>
            <w:pPr>
              <w:jc w:val="right"/>
              <w:ind w:right="392"/>
              <w:spacing w:after="0" w:line="149" w:lineRule="exact"/>
              <w:rPr>
                <w:sz w:val="20"/>
                <w:szCs w:val="20"/>
                <w:color w:val="auto"/>
              </w:rPr>
            </w:pPr>
            <w:r>
              <w:rPr>
                <w:rFonts w:ascii="Times New Roman" w:cs="Times New Roman" w:eastAsia="Times New Roman" w:hAnsi="Times New Roman"/>
                <w:sz w:val="14"/>
                <w:szCs w:val="14"/>
                <w:color w:val="auto"/>
              </w:rPr>
              <w:t>Restructuring</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Impairments</w:t>
            </w:r>
          </w:p>
        </w:tc>
        <w:tc>
          <w:tcPr>
            <w:tcW w:w="15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Disposals)</w:t>
            </w:r>
          </w:p>
        </w:tc>
        <w:tc>
          <w:tcPr>
            <w:tcW w:w="132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Costs</w:t>
            </w: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12.1</w:t>
            </w:r>
          </w:p>
        </w:tc>
        <w:tc>
          <w:tcPr>
            <w:tcW w:w="15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0.8</w:t>
            </w:r>
          </w:p>
        </w:tc>
        <w:tc>
          <w:tcPr>
            <w:tcW w:w="150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14.8</w:t>
            </w:r>
          </w:p>
        </w:tc>
        <w:tc>
          <w:tcPr>
            <w:tcW w:w="13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9.6</w:t>
            </w:r>
          </w:p>
        </w:tc>
        <w:tc>
          <w:tcPr>
            <w:tcW w:w="15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820" w:type="dxa"/>
            <w:vAlign w:val="bottom"/>
          </w:tcPr>
          <w:p>
            <w:pPr>
              <w:spacing w:after="0"/>
              <w:rPr>
                <w:sz w:val="19"/>
                <w:szCs w:val="19"/>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9.3</w:t>
            </w: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1.4</w:t>
            </w:r>
          </w:p>
        </w:tc>
        <w:tc>
          <w:tcPr>
            <w:tcW w:w="15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13.6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29.1</w:t>
            </w:r>
          </w:p>
        </w:tc>
        <w:tc>
          <w:tcPr>
            <w:tcW w:w="13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10.2</w:t>
            </w:r>
          </w:p>
        </w:tc>
        <w:tc>
          <w:tcPr>
            <w:tcW w:w="15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0.8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0.2</w:t>
            </w:r>
          </w:p>
        </w:tc>
        <w:tc>
          <w:tcPr>
            <w:tcW w:w="15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costs for 2024</w:t>
            </w:r>
          </w:p>
        </w:tc>
        <w:tc>
          <w:tcPr>
            <w:tcW w:w="8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0.8</w:t>
            </w:r>
          </w:p>
        </w:tc>
        <w:tc>
          <w:tcPr>
            <w:tcW w:w="150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53.2</w:t>
            </w:r>
          </w:p>
        </w:tc>
        <w:tc>
          <w:tcPr>
            <w:tcW w:w="132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21.4</w:t>
            </w:r>
          </w:p>
        </w:tc>
        <w:tc>
          <w:tcPr>
            <w:tcW w:w="158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17.2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820" w:type="dxa"/>
            <w:vAlign w:val="bottom"/>
          </w:tcPr>
          <w:p>
            <w:pPr>
              <w:spacing w:after="0"/>
              <w:rPr>
                <w:sz w:val="19"/>
                <w:szCs w:val="19"/>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7.5</w:t>
            </w:r>
          </w:p>
        </w:tc>
        <w:tc>
          <w:tcPr>
            <w:tcW w:w="13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(20.0)</w:t>
            </w: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(14.8)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8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(0.8)</w:t>
            </w:r>
          </w:p>
        </w:tc>
        <w:tc>
          <w:tcPr>
            <w:tcW w:w="150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(60.7)</w:t>
            </w:r>
          </w:p>
        </w:tc>
        <w:tc>
          <w:tcPr>
            <w:tcW w:w="13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(0.5)</w:t>
            </w:r>
          </w:p>
        </w:tc>
        <w:tc>
          <w:tcPr>
            <w:tcW w:w="15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20" w:type="dxa"/>
            <w:vAlign w:val="bottom"/>
          </w:tcPr>
          <w:p>
            <w:pPr>
              <w:spacing w:after="0"/>
              <w:rPr>
                <w:sz w:val="19"/>
                <w:szCs w:val="19"/>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13.0</w:t>
            </w:r>
          </w:p>
        </w:tc>
        <w:tc>
          <w:tcPr>
            <w:tcW w:w="15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820" w:type="dxa"/>
            <w:vAlign w:val="bottom"/>
          </w:tcPr>
          <w:p>
            <w:pPr>
              <w:spacing w:after="0"/>
              <w:rPr>
                <w:sz w:val="19"/>
                <w:szCs w:val="19"/>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w:t>
            </w:r>
          </w:p>
        </w:tc>
        <w:tc>
          <w:tcPr>
            <w:tcW w:w="1500" w:type="dxa"/>
            <w:vAlign w:val="bottom"/>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17.4</w:t>
            </w: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5.3</w:t>
            </w:r>
          </w:p>
        </w:tc>
        <w:tc>
          <w:tcPr>
            <w:tcW w:w="15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6.2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61.3</w:t>
            </w:r>
          </w:p>
        </w:tc>
        <w:tc>
          <w:tcPr>
            <w:tcW w:w="13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1.0</w:t>
            </w:r>
          </w:p>
        </w:tc>
        <w:tc>
          <w:tcPr>
            <w:tcW w:w="15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820" w:type="dxa"/>
            <w:vAlign w:val="bottom"/>
          </w:tcPr>
          <w:p>
            <w:pPr>
              <w:spacing w:after="0"/>
              <w:rPr>
                <w:sz w:val="19"/>
                <w:szCs w:val="19"/>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7.7</w:t>
            </w: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23.6</w:t>
            </w:r>
          </w:p>
        </w:tc>
        <w:tc>
          <w:tcPr>
            <w:tcW w:w="15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restructuring costs for 2025</w:t>
            </w: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w:t>
            </w:r>
          </w:p>
        </w:tc>
        <w:tc>
          <w:tcPr>
            <w:tcW w:w="15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86.4</w:t>
            </w:r>
          </w:p>
        </w:tc>
        <w:tc>
          <w:tcPr>
            <w:tcW w:w="13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29.9</w:t>
            </w:r>
          </w:p>
        </w:tc>
        <w:tc>
          <w:tcPr>
            <w:tcW w:w="15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34.3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152.6</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proceeds (payments)</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31.1</w:t>
            </w:r>
          </w:p>
        </w:tc>
        <w:tc>
          <w:tcPr>
            <w:tcW w:w="13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(16.7)</w:t>
            </w:r>
          </w:p>
        </w:tc>
        <w:tc>
          <w:tcPr>
            <w:tcW w:w="1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Non-cash (expense) income</w:t>
            </w: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w:t>
            </w:r>
          </w:p>
        </w:tc>
        <w:tc>
          <w:tcPr>
            <w:tcW w:w="15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(117.5)</w:t>
            </w:r>
          </w:p>
        </w:tc>
        <w:tc>
          <w:tcPr>
            <w:tcW w:w="13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1.0</w:t>
            </w:r>
          </w:p>
        </w:tc>
        <w:tc>
          <w:tcPr>
            <w:tcW w:w="15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(133.3)</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27.2</w:t>
            </w:r>
          </w:p>
        </w:tc>
        <w:tc>
          <w:tcPr>
            <w:tcW w:w="158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restructuring costs recorded in:</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52.5</w:t>
            </w: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12.7</w:t>
            </w:r>
          </w:p>
        </w:tc>
        <w:tc>
          <w:tcPr>
            <w:tcW w:w="15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14.4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0.8</w:t>
            </w:r>
          </w:p>
        </w:tc>
        <w:tc>
          <w:tcPr>
            <w:tcW w:w="150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0.7</w:t>
            </w:r>
          </w:p>
        </w:tc>
        <w:tc>
          <w:tcPr>
            <w:tcW w:w="132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8.7</w:t>
            </w:r>
          </w:p>
        </w:tc>
        <w:tc>
          <w:tcPr>
            <w:tcW w:w="158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restructuring costs for 2024</w:t>
            </w: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0.8</w:t>
            </w:r>
          </w:p>
        </w:tc>
        <w:tc>
          <w:tcPr>
            <w:tcW w:w="15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color w:val="auto"/>
              </w:rPr>
              <w:t>53.2</w:t>
            </w:r>
          </w:p>
        </w:tc>
        <w:tc>
          <w:tcPr>
            <w:tcW w:w="13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21.4</w:t>
            </w:r>
          </w:p>
        </w:tc>
        <w:tc>
          <w:tcPr>
            <w:tcW w:w="15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17.2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restructuring costs recorded in:</w:t>
            </w: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w:t>
            </w:r>
          </w:p>
        </w:tc>
        <w:tc>
          <w:tcPr>
            <w:tcW w:w="150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86.4</w:t>
            </w:r>
          </w:p>
        </w:tc>
        <w:tc>
          <w:tcPr>
            <w:tcW w:w="13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20.8</w:t>
            </w:r>
          </w:p>
        </w:tc>
        <w:tc>
          <w:tcPr>
            <w:tcW w:w="15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32.5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9.1</w:t>
            </w:r>
          </w:p>
        </w:tc>
        <w:tc>
          <w:tcPr>
            <w:tcW w:w="15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costs for 2025</w:t>
            </w: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w:t>
            </w:r>
          </w:p>
        </w:tc>
        <w:tc>
          <w:tcPr>
            <w:tcW w:w="150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86.4</w:t>
            </w:r>
          </w:p>
        </w:tc>
        <w:tc>
          <w:tcPr>
            <w:tcW w:w="132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29.9</w:t>
            </w:r>
          </w:p>
        </w:tc>
        <w:tc>
          <w:tcPr>
            <w:tcW w:w="158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34.3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152.6</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currently estimates that it will incur additional restructuring costs of approximately $40-$50 million primarily related to asset write-downs and other restructuring related costs, which are expected to be executed throughout 2025 and into 2027.</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accrual balance related to restructuring activities was $0.2 million for plans approved prior to 2024, $3.5 million for plans approved during 2024, and $23.4 million for plans approved during 2025.</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plans approved prior to 2024, restructuring expenses of $2.4 million were recorded in the year ended December 31, 2025. For the plans approved during 2024, restructuring expenses of $64.8 million were recorded for the year ended December 31, 2025. For the plans approved during 2025, restructuring expenses of $85.3 million were recorded during the year ended December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expects the remaining severance and other restructuring costs to be paid over the next 12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Receivables, net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Customers, trade</w:t>
            </w:r>
          </w:p>
        </w:tc>
        <w:tc>
          <w:tcPr>
            <w:tcW w:w="2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1,773.0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1,632.0</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20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39.3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184.2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23"/>
        </w:trPr>
        <w:tc>
          <w:tcPr>
            <w:tcW w:w="6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1,996.5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w:t>
            </w:r>
          </w:p>
        </w:tc>
      </w:tr>
      <w:tr>
        <w:trPr>
          <w:trHeight w:val="229"/>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discounts, claims and doubtful accounts</w:t>
            </w:r>
          </w:p>
        </w:tc>
        <w:tc>
          <w:tcPr>
            <w:tcW w:w="20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72.4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0"/>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1,924.1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w:t>
            </w:r>
          </w:p>
        </w:tc>
      </w:tr>
      <w:tr>
        <w:trPr>
          <w:trHeight w:val="621"/>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2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0"/>
        </w:trPr>
        <w:tc>
          <w:tcPr>
            <w:tcW w:w="6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2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7"/>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80" w:type="dxa"/>
            <w:vAlign w:val="bottom"/>
          </w:tcPr>
          <w:p>
            <w:pPr>
              <w:spacing w:after="0"/>
              <w:rPr>
                <w:sz w:val="24"/>
                <w:szCs w:val="24"/>
                <w:color w:val="auto"/>
              </w:rPr>
            </w:pPr>
          </w:p>
        </w:tc>
        <w:tc>
          <w:tcPr>
            <w:tcW w:w="15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23"/>
        </w:trPr>
        <w:tc>
          <w:tcPr>
            <w:tcW w:w="6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1,926.2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80" w:type="dxa"/>
            <w:vAlign w:val="bottom"/>
          </w:tcPr>
          <w:p>
            <w:pPr>
              <w:spacing w:after="0"/>
              <w:rPr>
                <w:sz w:val="19"/>
                <w:szCs w:val="19"/>
                <w:color w:val="auto"/>
              </w:rPr>
            </w:pPr>
          </w:p>
        </w:tc>
        <w:tc>
          <w:tcPr>
            <w:tcW w:w="15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129.8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29"/>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605.7</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r>
      <w:tr>
        <w:trPr>
          <w:trHeight w:val="230"/>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2,661.7</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2,513.6</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performs its annual testing of goodwill and indefinite-lived intangibles on the first day of the fourth quarter of each year. Between annual testing dates, the Company monitors factors such as its market capitalization, comparable company market multiples and macroeconomic conditions to identify conditions that could impact the Company’s assumptions utilized in the determination of the estimated fair values of the Company’s reporting units and indefinite-lived intangible assets significantly enough to trigger an impairment.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goodwill impairment tests are based on determining the fair value of the specified reporting units based on management judgments and assumptions using the discounted cash flows under the income approach classified in Level 3 of the fair value hierarchy and comparable company market valuation classified in Level 2 of the fair value hierarchy approaches. The Company has identified Global Ceramic, Flooring NA and Flooring ROW as its reporting units for the purposes of allocating goodwill and intangibles at the asset level, as well as assessing impairments. The valuation approaches are subject to key judgments and assumptions that are sensitive to change such as judgments and assumptions about appropriate sales growth rates, operating margins, weighted average cost of capital (“WACC”) and comparable company market multiples.</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compared the estimated fair values of its indefinite-lived intangibles to their carrying values and determined that there were impairment charges of $19.9 million ($14.9 million net of tax) in Flooring Rest of the World Segment during the fourth quarter of 2025 and $8.2 million ($6.3 million net of tax) in Global Ceramic Segment during the fourth quarter of 2024.</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significant or prolonged deterioration in economic conditions, continued increases in the costs of raw materials and energy combined with an inability to pass these costs on to customers, a further decline in the Company’s market capitalization or comparable company market multiples, projected future cash flows, or increases in the WACC, could impact the Company’s assumptions and require a reassessment of goodwill or indefinite-lived intangible assets for impairment in future periods. Future declines in estimated after tax cash flows, increases in the WACC or a decline in market capitalization could result in an additional indication of impairment in one or more of the Company’s reporting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components of goodwill and intangible assets: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520" w:type="dxa"/>
            <w:vAlign w:val="bottom"/>
          </w:tcPr>
          <w:p>
            <w:pPr>
              <w:spacing w:after="0"/>
              <w:rPr>
                <w:sz w:val="16"/>
                <w:szCs w:val="16"/>
                <w:color w:val="auto"/>
              </w:rPr>
            </w:pPr>
          </w:p>
        </w:tc>
        <w:tc>
          <w:tcPr>
            <w:tcW w:w="1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Global Ceramic</w:t>
            </w: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Flooring NA</w:t>
            </w:r>
          </w:p>
        </w:tc>
        <w:tc>
          <w:tcPr>
            <w:tcW w:w="16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Flooring ROW</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3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96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Balances as of December 31, 2023 </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372.3</w:t>
            </w:r>
          </w:p>
        </w:tc>
        <w:tc>
          <w:tcPr>
            <w:tcW w:w="166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787.4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w:t>
            </w: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recognized</w:t>
            </w:r>
          </w:p>
        </w:tc>
        <w:tc>
          <w:tcPr>
            <w:tcW w:w="1520" w:type="dxa"/>
            <w:vAlign w:val="bottom"/>
          </w:tcPr>
          <w:p>
            <w:pPr>
              <w:spacing w:after="0"/>
              <w:rPr>
                <w:sz w:val="19"/>
                <w:szCs w:val="19"/>
                <w:color w:val="auto"/>
              </w:rPr>
            </w:pPr>
          </w:p>
        </w:tc>
        <w:tc>
          <w:tcPr>
            <w:tcW w:w="1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520" w:type="dxa"/>
            <w:vAlign w:val="bottom"/>
            <w:shd w:val="clear" w:color="auto" w:fill="CCEEFF"/>
          </w:tcPr>
          <w:p>
            <w:pPr>
              <w:spacing w:after="0"/>
              <w:rPr>
                <w:sz w:val="19"/>
                <w:szCs w:val="19"/>
                <w:color w:val="auto"/>
              </w:rPr>
            </w:pPr>
          </w:p>
        </w:tc>
        <w:tc>
          <w:tcPr>
            <w:tcW w:w="1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15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(47.6)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3"/>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2024</w:t>
            </w:r>
          </w:p>
        </w:tc>
        <w:tc>
          <w:tcPr>
            <w:tcW w:w="15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372.3</w:t>
            </w:r>
          </w:p>
        </w:tc>
        <w:tc>
          <w:tcPr>
            <w:tcW w:w="166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739.8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w:t>
            </w: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recognized</w:t>
            </w:r>
          </w:p>
        </w:tc>
        <w:tc>
          <w:tcPr>
            <w:tcW w:w="1520" w:type="dxa"/>
            <w:vAlign w:val="bottom"/>
          </w:tcPr>
          <w:p>
            <w:pPr>
              <w:spacing w:after="0"/>
              <w:rPr>
                <w:sz w:val="19"/>
                <w:szCs w:val="19"/>
                <w:color w:val="auto"/>
              </w:rPr>
            </w:pPr>
          </w:p>
        </w:tc>
        <w:tc>
          <w:tcPr>
            <w:tcW w:w="15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7.6</w:t>
            </w:r>
          </w:p>
        </w:tc>
        <w:tc>
          <w:tcPr>
            <w:tcW w:w="16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520" w:type="dxa"/>
            <w:vAlign w:val="bottom"/>
            <w:shd w:val="clear" w:color="auto" w:fill="CCEEFF"/>
          </w:tcPr>
          <w:p>
            <w:pPr>
              <w:spacing w:after="0"/>
              <w:rPr>
                <w:sz w:val="19"/>
                <w:szCs w:val="19"/>
                <w:color w:val="auto"/>
              </w:rPr>
            </w:pPr>
          </w:p>
        </w:tc>
        <w:tc>
          <w:tcPr>
            <w:tcW w:w="1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15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90.6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w:t>
            </w: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2025</w:t>
            </w:r>
          </w:p>
        </w:tc>
        <w:tc>
          <w:tcPr>
            <w:tcW w:w="15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379.9</w:t>
            </w:r>
          </w:p>
        </w:tc>
        <w:tc>
          <w:tcPr>
            <w:tcW w:w="166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830.4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1,210.3</w:t>
            </w:r>
          </w:p>
        </w:tc>
      </w:tr>
    </w:tbl>
    <w:p>
      <w:pPr>
        <w:spacing w:after="0" w:line="112" w:lineRule="exact"/>
        <w:rPr>
          <w:sz w:val="20"/>
          <w:szCs w:val="20"/>
          <w:color w:val="auto"/>
        </w:rPr>
      </w:pPr>
    </w:p>
    <w:p>
      <w:pPr>
        <w:ind w:left="140" w:hanging="132"/>
        <w:spacing w:after="0"/>
        <w:tabs>
          <w:tab w:leader="none" w:pos="14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of accumulated impairment losses of $2,886.7 ($1,644.7 in Global Ceramic, $557.9 in Flooring NA and $684.1 in Flooring ROW).</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Tradenames</w:t>
            </w:r>
          </w:p>
        </w:tc>
        <w:tc>
          <w:tcPr>
            <w:tcW w:w="0" w:type="dxa"/>
            <w:vAlign w:val="bottom"/>
          </w:tcPr>
          <w:p>
            <w:pPr>
              <w:spacing w:after="0"/>
              <w:rPr>
                <w:sz w:val="1"/>
                <w:szCs w:val="1"/>
                <w:color w:val="auto"/>
              </w:rPr>
            </w:pPr>
          </w:p>
        </w:tc>
      </w:tr>
      <w:tr>
        <w:trPr>
          <w:trHeight w:val="23"/>
        </w:trPr>
        <w:tc>
          <w:tcPr>
            <w:tcW w:w="4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 life assets not subject to amortization:</w:t>
            </w:r>
          </w:p>
        </w:tc>
        <w:tc>
          <w:tcPr>
            <w:tcW w:w="10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0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impaired</w:t>
            </w: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10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0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impaired</w:t>
            </w: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10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0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695.8</w:t>
            </w:r>
          </w:p>
        </w:tc>
        <w:tc>
          <w:tcPr>
            <w:tcW w:w="0" w:type="dxa"/>
            <w:vAlign w:val="bottom"/>
          </w:tcPr>
          <w:p>
            <w:pPr>
              <w:spacing w:after="0"/>
              <w:rPr>
                <w:sz w:val="1"/>
                <w:szCs w:val="1"/>
                <w:color w:val="auto"/>
              </w:rPr>
            </w:pPr>
          </w:p>
        </w:tc>
      </w:tr>
      <w:tr>
        <w:trPr>
          <w:trHeight w:val="504"/>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Pr>
          <w:p>
            <w:pPr>
              <w:spacing w:after="0"/>
              <w:rPr>
                <w:sz w:val="24"/>
                <w:szCs w:val="24"/>
                <w:color w:val="auto"/>
              </w:rPr>
            </w:pPr>
          </w:p>
        </w:tc>
        <w:tc>
          <w:tcPr>
            <w:tcW w:w="1560" w:type="dxa"/>
            <w:vAlign w:val="bottom"/>
          </w:tcPr>
          <w:p>
            <w:pPr>
              <w:jc w:val="right"/>
              <w:ind w:right="413"/>
              <w:spacing w:after="0"/>
              <w:rPr>
                <w:sz w:val="20"/>
                <w:szCs w:val="20"/>
                <w:color w:val="auto"/>
              </w:rPr>
            </w:pPr>
            <w:r>
              <w:rPr>
                <w:rFonts w:ascii="Times New Roman" w:cs="Times New Roman" w:eastAsia="Times New Roman" w:hAnsi="Times New Roman"/>
                <w:sz w:val="14"/>
                <w:szCs w:val="14"/>
                <w:color w:val="auto"/>
              </w:rPr>
              <w:t>Customer</w:t>
            </w:r>
          </w:p>
        </w:tc>
        <w:tc>
          <w:tcPr>
            <w:tcW w:w="16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color w:val="auto"/>
              </w:rPr>
              <w:t>Patents</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44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color w:val="auto"/>
              </w:rPr>
              <w:t>Relationships</w:t>
            </w:r>
          </w:p>
        </w:tc>
        <w:tc>
          <w:tcPr>
            <w:tcW w:w="16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subject to amortization:</w:t>
            </w:r>
          </w:p>
        </w:tc>
        <w:tc>
          <w:tcPr>
            <w:tcW w:w="10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691.5</w:t>
            </w:r>
          </w:p>
        </w:tc>
        <w:tc>
          <w:tcPr>
            <w:tcW w:w="16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249.7</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(531.0)</w:t>
            </w:r>
          </w:p>
        </w:tc>
        <w:tc>
          <w:tcPr>
            <w:tcW w:w="16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(247.2)</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10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160.5</w:t>
            </w:r>
          </w:p>
        </w:tc>
        <w:tc>
          <w:tcPr>
            <w:tcW w:w="162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2024</w:t>
            </w: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10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662.4</w:t>
            </w:r>
          </w:p>
        </w:tc>
        <w:tc>
          <w:tcPr>
            <w:tcW w:w="16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235.4</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(536.3)</w:t>
            </w:r>
          </w:p>
        </w:tc>
        <w:tc>
          <w:tcPr>
            <w:tcW w:w="16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(233.6)</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10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126.1</w:t>
            </w:r>
          </w:p>
        </w:tc>
        <w:tc>
          <w:tcPr>
            <w:tcW w:w="162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1.8</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2025</w:t>
            </w: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10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716.2</w:t>
            </w:r>
          </w:p>
        </w:tc>
        <w:tc>
          <w:tcPr>
            <w:tcW w:w="16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265.8</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9.1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991.1</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080" w:type="dxa"/>
            <w:vAlign w:val="bottom"/>
          </w:tcPr>
          <w:p>
            <w:pPr>
              <w:spacing w:after="0"/>
              <w:rPr>
                <w:sz w:val="19"/>
                <w:szCs w:val="19"/>
                <w:color w:val="auto"/>
              </w:rPr>
            </w:pPr>
          </w:p>
        </w:tc>
        <w:tc>
          <w:tcPr>
            <w:tcW w:w="1560" w:type="dxa"/>
            <w:vAlign w:val="bottom"/>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(607.2)</w:t>
            </w:r>
          </w:p>
        </w:tc>
        <w:tc>
          <w:tcPr>
            <w:tcW w:w="16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(264.5)</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(874.6)</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109.0</w:t>
            </w:r>
          </w:p>
        </w:tc>
        <w:tc>
          <w:tcPr>
            <w:tcW w:w="16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1.3</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7.1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29"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2024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28.3</w:t>
            </w:r>
          </w:p>
        </w:tc>
        <w:tc>
          <w:tcPr>
            <w:tcW w:w="176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27.6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Estimated amortization expense for the years ending December 31 are as follows: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
        </w:trPr>
        <w:tc>
          <w:tcPr>
            <w:tcW w:w="6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Following is a summary of property, plant and equipment:</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23"/>
        </w:trPr>
        <w:tc>
          <w:tcPr>
            <w:tcW w:w="6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535.3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6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2,248.5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7,398.7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6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179.2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113.7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556.6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11,032.0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6,260.0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4,772.0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4,579.9</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Additions to property, plant and equipment included capitalized interest of $19.6 million, $21.8 million and $23.5 million in 2025, 2024 and 2023, respectively. Depreciation expense was $621.7 million, $607.1 million and $598.9 million for 2025, 2024 and 2023, respectively. Included in property, plant and equipment are finance leases with a cost of $170.0 million and $141.4 million and accumulated depreciation of $88.7 million and $59.7 million as of December 31, 2025, and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Credit Facility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12, 2022, the Company entered into a fourth amendment (the “Amendment”) to its existing senior revolving credit facility (the “Senior Credit Facility”). The Amendment, among other things, (i) extended the maturity of the Senior Credit Facility from October 18, 2024, to August 12, 2027,</w:t>
      </w:r>
    </w:p>
    <w:p>
      <w:pPr>
        <w:jc w:val="both"/>
        <w:ind w:firstLine="8"/>
        <w:spacing w:after="0" w:line="250" w:lineRule="auto"/>
        <w:tabs>
          <w:tab w:leader="none" w:pos="2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renewed the Company’s option to extend the maturity of the Senior Credit Facility up to two times, (iii) increased the Consolidated Interest Coverage Ratio financial maintenance covenant from 3.00:1.00 to 3.50:1.00, (iv) eliminated certain covenants applicable to the Company and its subsidiaries, including, but not limited to, restrictions on dispositions, restricted payments, and transactions with affiliates, and the Consolidated Net Leverage Ratio financial covenant, and (v) increased the amount available under the Senior Credit Facility to $1,950.0 million until October 18, 2024, after which the amount available under the Senior Credit Facility decreased to $1,485.0 million. The Amendment also permits the Company to increase the commitments under the Senior Credit Facility by an aggregate amount not to exceed $600.0 million. On August 5, 2024, the Company entered into a Lender Joinder Agreement, which increased commitments under the Senior Credit Facility by an additional $100.0 million until</w:t>
      </w:r>
    </w:p>
    <w:p>
      <w:pPr>
        <w:spacing w:after="0" w:line="2" w:lineRule="exact"/>
        <w:rPr>
          <w:rFonts w:ascii="Times New Roman" w:cs="Times New Roman" w:eastAsia="Times New Roman" w:hAnsi="Times New Roman"/>
          <w:sz w:val="18"/>
          <w:szCs w:val="18"/>
          <w:color w:val="auto"/>
        </w:rPr>
      </w:pPr>
    </w:p>
    <w:p>
      <w:pPr>
        <w:ind w:right="20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12, 2027, and further amended the Senior Credit Facility to permit the Company to increase the commitments under the Senior Credit Facility by an aggregate amount not to exceed $500.0 million.</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Company’s election, United States dollar denominated revolving loans under the Senior Credit Facility bear interest at annual rates equal to either (a) SOFR (plus a 0.10% SOFR adjustment) for 1, 3 or 6 month periods, as selected by the Company, plus an applicable margin ranging between 1.00% and 1.75% (1.00% as of December 31, 2025), or (b) the Base Rate (defined as the higher of the Wells Fargo Bank, National Association prime rate, the Federal Funds Effective Rate plus 0.5%, or SOFR (plus a 0.10% SOFR adjustment) for a 1 month period rate plus 1.0%), plus an applicable margin ranging between 0.00% and 0.75% (0.00% as of December 31, 2025). At the Company’s election, revolving loans under the Senior Credit Facility denominated in Canadian dollars, Australian dollars, Hong Kong dollars or euros bear interest at annual rates equal to either (a) the applicable benchmark for such currency plus an applicable margin ranging between 1.00% and 1.75% (1.00% as of December 31, 2025), or (b) the Base Rate plus an applicable margin ranging between 0.00% and 0.75% (0.00% as of December 31, 2025). The Company also pays a commitment fee to the lenders under the Senior Credit Facility on the average amount by which the aggregate commitments of the lenders exceed utilization of the Senior Credit Facility ranging from 0.09% to 0.20% per annum (0.09% as of December 31, 2025). The applicable margins and the commitment fee are determined based on whichever of the Company’s Consolidated Net Leverage Ratio or its senior unsecured debt rating (or if not available, corporate family rating) results in the lower applicable margins and commitment fee (with applicable margins and the commitment fee increasing as that ratio increases or those ratings decline, as applicable). On October 28, 2021, the Company amended the Senior Credit Facility to replace LIBOR for euros with the EURIBOR benchmark rate.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the Company and its subsidiaries in respect of the Senior Credit Facility are unsecured.</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Senior Credit Facility includes certain affirmative and negative covenants that impose restrictions on the Company’s financial and business operations, including limitations on liens, subsidiary indebtedness, fundamental changes, future negative pledges, and changes in the nature of the Company’s business. The limitations contain customary exceptions or, in certain cases, do not apply as long as the Company is in compliance with the financial ratio requirement and is not otherwise in default. As described above, the Consolidated Net Leverage Ratio financial covenant was eliminated on August 12, 2022.</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Senior Credit Facility also contains customary representations and warranties and events of default, subject to customary grace periods.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2022, the Company paid financing costs of $1.9 million in connection with the Amendment of its Senior Credit Facility. These costs were deferred and, along with previously unamortized costs of $2.7 million, are being amortized over the term of the Senior Credit Facility.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amounts used under the Senior Credit Facility included zero borrowings and $0.9 million of standby letters of credit related to various insurance contracts and foreign vendor commitments. Any outstanding borrowings under the Company’s United States and European commercial paper programs reduce the availability of the Senior Credit Facility. Including commercial paper borrowings, the Company has used $267.5 million under the Senior Credit Facility, resulting in a total of $1,317.5 million available as of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28, 2014, and July 31, 2015, the Company established programs for the issuance of unsecured commercial paper in the United States and Eurozone capital markets, respectively. Commercial paper issued under the United States and European programs will have maturities ranging up to 397 and 183 days, respectively. None of the commercial paper notes may be voluntarily prepaid or redeemed by the Company and rank pari passu with the Company’s other unsecured and unsubordinated indebtedness. To the extent that the Company issues European commercial paper notes through a subsidiary of the Company, the notes will be fully and unconditionally guaranteed by the Company.</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its Senior Credit Facility as a liquidity backstop for its commercial paper programs. Accordingly, the total amount outstanding under the Company’s commercial paper programs may not exceed $1,585.0 million (less any amounts drawn on the Senior Credit Facility) at any time.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proceeds from the issuance of commercial paper notes will be available for general corporate purposes. As of December 31, 2025, there was $155.0 million outstanding under the United States commercial paper program, and the euro equivalent of $111.6 million under the European program. The weighted-average interest rate and maturity period for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 Sates program were 3.87% and 18.4 days, respectively. The weighted-average interest rate and maturity period for the European program were 2.17% and 12.6 days,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18, 2023, the Company completed the issuance and sale of $600.0 million aggregate principal amount of 5.850% Senior Notes (“5.850% Senior Notes”) due September 18, 2028. The 5.850% Senior Notes are senior unsecured obligations of the Company and rank pari passu with the Company’s other existing and future senior unsecured indebtedness. Interest on the 5.850% Senior Notes is payable semi-annually in cash on March 18 and September 18 of each year, commencing on March 18, 2024. The Company paid financing costs of $5.6 million in connection with the 5.850% Senior Notes. These costs were deferred and are being amortized over the term of the 5.850% Senior Notes.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12, 2020, Mohawk Capital Finance S.A. (“Mohawk Finance”), an indirect wholly-owned finance subsidiary of the Company, completed the issuance and sale of €500.0 million aggregate principal amount of 1.750% Senior Notes (“1.750% Senior Notes”) due June 12, 2027. The 1.750% Senior Notes are senior unsecured obligations of Mohawk Finance and rank pari passu with Mohawk Finance’s other existing and future senior unsecured indebtedness. The 1.750% Senior Notes are fully, unconditionally and irrevocably guaranteed by the Company on a senior unsecured basis. Interest on the 1.750% Senior Notes is payable annually in cash on June 12 of each year, commencing on June 12, 2021. The Company paid financing costs of $4.4 million in connection with the 1.750% Senior Notes. These costs were deferred and are being amortized over the term of the 1.750% Senior Notes.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14, 2020, the Company completed the issuance and sale of $500.0 million aggregate principal amount of 3.625% Senior Notes (“3.625% Senior Notes”) due May 15, 2030. The 3.625% Senior Notes are senior unsecured obligations of the Company and rank pari passu with the Company’s existing and future unsecured indebtedness. Interest on the 3.625% Senior Notes is payable semi-annually in cash on May 15 and November 15 of each year, commencing on November 15, 2020. The Company paid financing costs of $5.5 million in connection with the 3.625% Senior Notes. These costs were deferred and are being amortized over the term of the 3.625% Senior Notes.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defined in the related agreements, the Company’s senior notes contain covenants, representations and warranties and events of default, subject to exceptions, and restrictions on the Company’s financial and business operations, including limitations on liens, restrictions on entering into sale and leaseback transactions, fundamental changes, and a provision allowing the holder of the notes to require repayment upon a change of control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 August 12, 2022, the Company and its indirect wholly-owned subsidiary, Mohawk International Holdings S.à r.l., entered into an agreement that provides for a delayed draw term loan facility (the “Term Loan Facility”), consisting of borrowings of up to $575.0 million and €220.0 million. On October 3, 2022, an additional $100.0 million of borrowing capacity was added to the Term Loan Facility. The Term Loan Facility could be drawn upon in up to two advances on any business day on or before December 31, 2022, with the proceeds being used for funding working capital and general corporate purposes. On October 31, 2022, and December 6, 2022, the Company made draws of $675.0 million and €220.0 million, respectively. Principal amounts outstanding under the Term Loan Facility, along with any accrued and unpaid interest, could, at any time prior to the maturity date of August 12, 2024, be prepaid by the Company without premium or penalty. On January 31, 2024, the Company prepaid the entirety of the USD portion of the Term Loan Facility, in the amount of $675.0 million. On February 16, 2024, the Company prepaid the entirety of the EUR portion of the Term Loan Facility, in the amount of €220.0 million plus accrued and unpaid interest.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values and carrying values of the Company’s debt instruments are detailed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Pr>
          <w:p>
            <w:pPr>
              <w:spacing w:after="0"/>
              <w:rPr>
                <w:sz w:val="11"/>
                <w:szCs w:val="11"/>
                <w:color w:val="auto"/>
              </w:rPr>
            </w:pPr>
          </w:p>
        </w:tc>
        <w:tc>
          <w:tcPr>
            <w:tcW w:w="158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4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color w:val="auto"/>
              </w:rPr>
              <w:t>Fair Value</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payable June 12, 2027; interest payable annually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581.0</w:t>
            </w:r>
          </w:p>
        </w:tc>
        <w:tc>
          <w:tcPr>
            <w:tcW w:w="9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587.4</w:t>
            </w:r>
          </w:p>
        </w:tc>
        <w:tc>
          <w:tcPr>
            <w:tcW w:w="16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509.0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3.625% Senior Notes, payable May 15, 2030; interest payable semi-annually</w:t>
            </w:r>
          </w:p>
        </w:tc>
        <w:tc>
          <w:tcPr>
            <w:tcW w:w="320" w:type="dxa"/>
            <w:vAlign w:val="bottom"/>
          </w:tcPr>
          <w:p>
            <w:pPr>
              <w:spacing w:after="0"/>
              <w:rPr>
                <w:sz w:val="19"/>
                <w:szCs w:val="19"/>
                <w:color w:val="auto"/>
              </w:rPr>
            </w:pPr>
          </w:p>
        </w:tc>
        <w:tc>
          <w:tcPr>
            <w:tcW w:w="158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485.0</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500.0</w:t>
            </w:r>
          </w:p>
        </w:tc>
        <w:tc>
          <w:tcPr>
            <w:tcW w:w="16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462.0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5.85% Senior Notes, payable September 18, 2028; interest payable semi-annually</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624.0</w:t>
            </w:r>
          </w:p>
        </w:tc>
        <w:tc>
          <w:tcPr>
            <w:tcW w:w="9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600.0</w:t>
            </w:r>
          </w:p>
        </w:tc>
        <w:tc>
          <w:tcPr>
            <w:tcW w:w="16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617.0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commercial paper</w:t>
            </w:r>
          </w:p>
        </w:tc>
        <w:tc>
          <w:tcPr>
            <w:tcW w:w="320" w:type="dxa"/>
            <w:vAlign w:val="bottom"/>
          </w:tcPr>
          <w:p>
            <w:pPr>
              <w:spacing w:after="0"/>
              <w:rPr>
                <w:sz w:val="19"/>
                <w:szCs w:val="19"/>
                <w:color w:val="auto"/>
              </w:rPr>
            </w:pPr>
          </w:p>
        </w:tc>
        <w:tc>
          <w:tcPr>
            <w:tcW w:w="158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155.0</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155.0</w:t>
            </w:r>
          </w:p>
        </w:tc>
        <w:tc>
          <w:tcPr>
            <w:tcW w:w="16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486.0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commercial paper</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111.6</w:t>
            </w:r>
          </w:p>
        </w:tc>
        <w:tc>
          <w:tcPr>
            <w:tcW w:w="9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111.6</w:t>
            </w:r>
          </w:p>
        </w:tc>
        <w:tc>
          <w:tcPr>
            <w:tcW w:w="16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49.4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Credit Facility, payable August 12, 2027</w:t>
            </w:r>
          </w:p>
        </w:tc>
        <w:tc>
          <w:tcPr>
            <w:tcW w:w="320" w:type="dxa"/>
            <w:vAlign w:val="bottom"/>
          </w:tcPr>
          <w:p>
            <w:pPr>
              <w:spacing w:after="0"/>
              <w:rPr>
                <w:sz w:val="19"/>
                <w:szCs w:val="19"/>
                <w:color w:val="auto"/>
              </w:rPr>
            </w:pPr>
          </w:p>
        </w:tc>
        <w:tc>
          <w:tcPr>
            <w:tcW w:w="158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Term Loan Facility</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Term Loan Facility</w:t>
            </w:r>
          </w:p>
        </w:tc>
        <w:tc>
          <w:tcPr>
            <w:tcW w:w="320" w:type="dxa"/>
            <w:vAlign w:val="bottom"/>
          </w:tcPr>
          <w:p>
            <w:pPr>
              <w:spacing w:after="0"/>
              <w:rPr>
                <w:sz w:val="19"/>
                <w:szCs w:val="19"/>
                <w:color w:val="auto"/>
              </w:rPr>
            </w:pPr>
          </w:p>
        </w:tc>
        <w:tc>
          <w:tcPr>
            <w:tcW w:w="158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and other</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82.8</w:t>
            </w:r>
          </w:p>
        </w:tc>
        <w:tc>
          <w:tcPr>
            <w:tcW w:w="9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82.8</w:t>
            </w:r>
          </w:p>
        </w:tc>
        <w:tc>
          <w:tcPr>
            <w:tcW w:w="16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89.5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(6.3)</w:t>
            </w: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(6.3)</w:t>
            </w:r>
          </w:p>
        </w:tc>
        <w:tc>
          <w:tcPr>
            <w:tcW w:w="16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(8.4)</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2,033.1</w:t>
            </w:r>
          </w:p>
        </w:tc>
        <w:tc>
          <w:tcPr>
            <w:tcW w:w="9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2,030.5</w:t>
            </w:r>
          </w:p>
        </w:tc>
        <w:tc>
          <w:tcPr>
            <w:tcW w:w="16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2,204.5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2,236.8</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 term-debt and commercial paper</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289.3</w:t>
            </w: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289.3</w:t>
            </w:r>
          </w:p>
        </w:tc>
        <w:tc>
          <w:tcPr>
            <w:tcW w:w="16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559.4</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1,743.8</w:t>
            </w:r>
          </w:p>
        </w:tc>
        <w:tc>
          <w:tcPr>
            <w:tcW w:w="9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1,741.2</w:t>
            </w:r>
          </w:p>
        </w:tc>
        <w:tc>
          <w:tcPr>
            <w:tcW w:w="164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1,645.1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the Company’s debt instruments were estimated using market observable inputs, including quoted prices in active markets, market indices and interest rate measurements. Within the hierarchy of fair value measurements, these are Level 1 fair values.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maturities of total debt as of December 31, 2025,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xml:space="preserve">Amount </w:t>
            </w:r>
            <w:r>
              <w:rPr>
                <w:rFonts w:ascii="Times New Roman" w:cs="Times New Roman" w:eastAsia="Times New Roman" w:hAnsi="Times New Roman"/>
                <w:sz w:val="18"/>
                <w:szCs w:val="18"/>
                <w:color w:val="auto"/>
                <w:vertAlign w:val="superscript"/>
              </w:rPr>
              <w:t>(1)</w:t>
            </w:r>
          </w:p>
        </w:tc>
      </w:tr>
      <w:tr>
        <w:trPr>
          <w:trHeight w:val="223"/>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20" w:type="dxa"/>
            <w:vAlign w:val="bottom"/>
          </w:tcPr>
          <w:p>
            <w:pPr>
              <w:spacing w:after="0"/>
              <w:rPr>
                <w:sz w:val="19"/>
                <w:szCs w:val="19"/>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20" w:type="dxa"/>
            <w:vAlign w:val="bottom"/>
          </w:tcPr>
          <w:p>
            <w:pPr>
              <w:spacing w:after="0"/>
              <w:rPr>
                <w:sz w:val="19"/>
                <w:szCs w:val="19"/>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20" w:type="dxa"/>
            <w:vAlign w:val="bottom"/>
          </w:tcPr>
          <w:p>
            <w:pPr>
              <w:spacing w:after="0"/>
              <w:rPr>
                <w:sz w:val="19"/>
                <w:szCs w:val="19"/>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20" w:type="dxa"/>
            <w:vAlign w:val="bottom"/>
          </w:tcPr>
          <w:p>
            <w:pPr>
              <w:spacing w:after="0"/>
              <w:rPr>
                <w:sz w:val="19"/>
                <w:szCs w:val="19"/>
                <w:color w:val="auto"/>
              </w:rPr>
            </w:pPr>
          </w:p>
        </w:tc>
      </w:tr>
      <w:tr>
        <w:trPr>
          <w:trHeight w:val="229"/>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r>
      <w:tr>
        <w:trPr>
          <w:trHeight w:val="230"/>
        </w:trPr>
        <w:tc>
          <w:tcPr>
            <w:tcW w:w="6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180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2,036.8</w:t>
            </w:r>
          </w:p>
        </w:tc>
        <w:tc>
          <w:tcPr>
            <w:tcW w:w="20" w:type="dxa"/>
            <w:vAlign w:val="bottom"/>
          </w:tcPr>
          <w:p>
            <w:pPr>
              <w:spacing w:after="0"/>
              <w:rPr>
                <w:sz w:val="20"/>
                <w:szCs w:val="20"/>
                <w:color w:val="auto"/>
              </w:rPr>
            </w:pPr>
          </w:p>
        </w:tc>
      </w:tr>
      <w:tr>
        <w:trPr>
          <w:trHeight w:val="366"/>
        </w:trPr>
        <w:tc>
          <w:tcPr>
            <w:tcW w:w="6140" w:type="dxa"/>
            <w:vAlign w:val="bottom"/>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Debt maturity table excludes deferred loan costs.</w:t>
            </w:r>
          </w:p>
        </w:tc>
        <w:tc>
          <w:tcPr>
            <w:tcW w:w="1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0"/>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Accounts Payable and Accrued Expenses</w:t>
            </w:r>
          </w:p>
        </w:tc>
        <w:tc>
          <w:tcPr>
            <w:tcW w:w="1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6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are as follows:</w:t>
            </w:r>
          </w:p>
        </w:tc>
        <w:tc>
          <w:tcPr>
            <w:tcW w:w="1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9"/>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0" w:type="dxa"/>
            <w:vAlign w:val="bottom"/>
          </w:tcPr>
          <w:p>
            <w:pPr>
              <w:spacing w:after="0"/>
              <w:rPr>
                <w:sz w:val="24"/>
                <w:szCs w:val="24"/>
                <w:color w:val="auto"/>
              </w:rPr>
            </w:pPr>
          </w:p>
        </w:tc>
        <w:tc>
          <w:tcPr>
            <w:tcW w:w="20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23"/>
        </w:trPr>
        <w:tc>
          <w:tcPr>
            <w:tcW w:w="6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checks in excess of cash</w:t>
            </w: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3.7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9"/>
                <w:szCs w:val="19"/>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trade</w:t>
            </w:r>
          </w:p>
        </w:tc>
        <w:tc>
          <w:tcPr>
            <w:tcW w:w="1800" w:type="dxa"/>
            <w:vAlign w:val="bottom"/>
          </w:tcPr>
          <w:p>
            <w:pPr>
              <w:spacing w:after="0"/>
              <w:rPr>
                <w:sz w:val="19"/>
                <w:szCs w:val="19"/>
                <w:color w:val="auto"/>
              </w:rPr>
            </w:pPr>
          </w:p>
        </w:tc>
        <w:tc>
          <w:tcPr>
            <w:tcW w:w="206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1,088.9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20" w:type="dxa"/>
            <w:vAlign w:val="bottom"/>
          </w:tcPr>
          <w:p>
            <w:pPr>
              <w:spacing w:after="0"/>
              <w:rPr>
                <w:sz w:val="19"/>
                <w:szCs w:val="19"/>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80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896.7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20" w:type="dxa"/>
            <w:vAlign w:val="bottom"/>
            <w:shd w:val="clear" w:color="auto" w:fill="CCEEFF"/>
          </w:tcPr>
          <w:p>
            <w:pPr>
              <w:spacing w:after="0"/>
              <w:rPr>
                <w:sz w:val="19"/>
                <w:szCs w:val="19"/>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warranties</w:t>
            </w:r>
          </w:p>
        </w:tc>
        <w:tc>
          <w:tcPr>
            <w:tcW w:w="1800" w:type="dxa"/>
            <w:vAlign w:val="bottom"/>
          </w:tcPr>
          <w:p>
            <w:pPr>
              <w:spacing w:after="0"/>
              <w:rPr>
                <w:sz w:val="19"/>
                <w:szCs w:val="19"/>
                <w:color w:val="auto"/>
              </w:rPr>
            </w:pPr>
          </w:p>
        </w:tc>
        <w:tc>
          <w:tcPr>
            <w:tcW w:w="206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19"/>
                <w:szCs w:val="19"/>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19.2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CEEFF"/>
          </w:tcPr>
          <w:p>
            <w:pPr>
              <w:spacing w:after="0"/>
              <w:rPr>
                <w:sz w:val="19"/>
                <w:szCs w:val="19"/>
                <w:color w:val="auto"/>
              </w:rPr>
            </w:pPr>
          </w:p>
        </w:tc>
      </w:tr>
      <w:tr>
        <w:trPr>
          <w:trHeight w:val="230"/>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279.6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0" w:type="dxa"/>
            <w:vAlign w:val="bottom"/>
            <w:tcBorders>
              <w:bottom w:val="single" w:sz="8" w:color="auto"/>
            </w:tcBorders>
          </w:tcPr>
          <w:p>
            <w:pPr>
              <w:spacing w:after="0"/>
              <w:rPr>
                <w:sz w:val="19"/>
                <w:szCs w:val="19"/>
                <w:color w:val="auto"/>
              </w:rPr>
            </w:pPr>
          </w:p>
        </w:tc>
      </w:tr>
      <w:tr>
        <w:trPr>
          <w:trHeight w:val="230"/>
        </w:trPr>
        <w:tc>
          <w:tcPr>
            <w:tcW w:w="6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2,310.4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operating and finance leases for service centers, warehouses, showrooms, and machinery and equipment. Certain of the Company’s leases include rental payments that will adjust periodically for inflation or certain adjustments based on step increases. An insignificant number of the Company’s leases contain residual value guarantees and none of the Company’s agreements contain material restrictive covenants.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rents or subleases certain real estate to third parties. The Company’s sublease portfolio consists mainly of operating leases.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costs for the twelve months ended December 31, 2025, 2024 and 2023, respectively,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color w:val="auto"/>
              </w:rPr>
              <w:t>Cost of Goods</w:t>
            </w:r>
          </w:p>
        </w:tc>
        <w:tc>
          <w:tcPr>
            <w:tcW w:w="2100" w:type="dxa"/>
            <w:vAlign w:val="bottom"/>
          </w:tcPr>
          <w:p>
            <w:pPr>
              <w:jc w:val="right"/>
              <w:ind w:right="616"/>
              <w:spacing w:after="0" w:line="159" w:lineRule="exact"/>
              <w:rPr>
                <w:sz w:val="20"/>
                <w:szCs w:val="20"/>
                <w:color w:val="auto"/>
              </w:rPr>
            </w:pPr>
            <w:r>
              <w:rPr>
                <w:rFonts w:ascii="Times New Roman" w:cs="Times New Roman" w:eastAsia="Times New Roman" w:hAnsi="Times New Roman"/>
                <w:sz w:val="14"/>
                <w:szCs w:val="14"/>
                <w:color w:val="auto"/>
              </w:rPr>
              <w:t>Selling, General</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4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100" w:type="dxa"/>
            <w:vAlign w:val="bottom"/>
          </w:tcPr>
          <w:p>
            <w:pPr>
              <w:jc w:val="right"/>
              <w:ind w:right="656"/>
              <w:spacing w:after="0" w:line="149" w:lineRule="exact"/>
              <w:rPr>
                <w:sz w:val="20"/>
                <w:szCs w:val="20"/>
                <w:color w:val="auto"/>
              </w:rPr>
            </w:pPr>
            <w:r>
              <w:rPr>
                <w:rFonts w:ascii="Times New Roman" w:cs="Times New Roman" w:eastAsia="Times New Roman" w:hAnsi="Times New Roman"/>
                <w:sz w:val="14"/>
                <w:szCs w:val="14"/>
                <w:color w:val="auto"/>
              </w:rPr>
              <w:t>and Administrative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vMerge w:val="continue"/>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color w:val="auto"/>
              </w:rPr>
              <w:t>Sold</w:t>
            </w:r>
          </w:p>
        </w:tc>
        <w:tc>
          <w:tcPr>
            <w:tcW w:w="21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color w:val="auto"/>
              </w:rPr>
              <w:t>Expenses</w:t>
            </w: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56.4</w:t>
            </w:r>
          </w:p>
        </w:tc>
        <w:tc>
          <w:tcPr>
            <w:tcW w:w="2100" w:type="dxa"/>
            <w:vAlign w:val="bottom"/>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95.5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10.9</w:t>
            </w:r>
          </w:p>
        </w:tc>
        <w:tc>
          <w:tcPr>
            <w:tcW w:w="210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18.5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2440" w:type="dxa"/>
            <w:vAlign w:val="bottom"/>
          </w:tcPr>
          <w:p>
            <w:pPr>
              <w:spacing w:after="0"/>
              <w:rPr>
                <w:sz w:val="19"/>
                <w:szCs w:val="19"/>
                <w:color w:val="auto"/>
              </w:rPr>
            </w:pP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16.1</w:t>
            </w:r>
          </w:p>
        </w:tc>
        <w:tc>
          <w:tcPr>
            <w:tcW w:w="2100" w:type="dxa"/>
            <w:vAlign w:val="bottom"/>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28.9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Sub-leases</w:t>
            </w:r>
          </w:p>
        </w:tc>
        <w:tc>
          <w:tcPr>
            <w:tcW w:w="2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(4.7)</w:t>
            </w:r>
          </w:p>
        </w:tc>
        <w:tc>
          <w:tcPr>
            <w:tcW w:w="21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rPr>
              <w:t>(0.6)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78.7</w:t>
            </w:r>
          </w:p>
        </w:tc>
        <w:tc>
          <w:tcPr>
            <w:tcW w:w="21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142.3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221.0</w:t>
            </w:r>
          </w:p>
        </w:tc>
        <w:tc>
          <w:tcPr>
            <w:tcW w:w="0" w:type="dxa"/>
            <w:vAlign w:val="bottom"/>
          </w:tcPr>
          <w:p>
            <w:pPr>
              <w:spacing w:after="0"/>
              <w:rPr>
                <w:sz w:val="1"/>
                <w:szCs w:val="1"/>
                <w:color w:val="auto"/>
              </w:rPr>
            </w:pPr>
          </w:p>
        </w:tc>
      </w:tr>
      <w:tr>
        <w:trPr>
          <w:trHeight w:val="391"/>
        </w:trPr>
        <w:tc>
          <w:tcPr>
            <w:tcW w:w="4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Depreciation and</w:t>
            </w:r>
          </w:p>
        </w:tc>
        <w:tc>
          <w:tcPr>
            <w:tcW w:w="2100" w:type="dxa"/>
            <w:vAlign w:val="bottom"/>
            <w:vMerge w:val="restart"/>
          </w:tcPr>
          <w:p>
            <w:pPr>
              <w:jc w:val="right"/>
              <w:ind w:right="616"/>
              <w:spacing w:after="0"/>
              <w:rPr>
                <w:sz w:val="20"/>
                <w:szCs w:val="20"/>
                <w:color w:val="auto"/>
              </w:rPr>
            </w:pPr>
            <w:r>
              <w:rPr>
                <w:rFonts w:ascii="Times New Roman" w:cs="Times New Roman" w:eastAsia="Times New Roman" w:hAnsi="Times New Roman"/>
                <w:sz w:val="14"/>
                <w:szCs w:val="14"/>
                <w:color w:val="auto"/>
              </w:rPr>
              <w:t>Interest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color w:val="auto"/>
              </w:rPr>
              <w:t>Amortization</w:t>
            </w:r>
          </w:p>
        </w:tc>
        <w:tc>
          <w:tcPr>
            <w:tcW w:w="21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23.5</w:t>
            </w:r>
          </w:p>
        </w:tc>
        <w:tc>
          <w:tcPr>
            <w:tcW w:w="2100" w:type="dxa"/>
            <w:vAlign w:val="bottom"/>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210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3.2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23.5</w:t>
            </w:r>
          </w:p>
        </w:tc>
        <w:tc>
          <w:tcPr>
            <w:tcW w:w="21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3.2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210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December 31, 2024</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2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Cost of Goods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13335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Selling, General</w:t>
      </w:r>
    </w:p>
    <w:p>
      <w:pPr>
        <w:spacing w:after="0" w:line="206" w:lineRule="auto"/>
        <w:rPr>
          <w:sz w:val="20"/>
          <w:szCs w:val="20"/>
          <w:color w:val="auto"/>
        </w:rPr>
      </w:pPr>
      <w:r>
        <w:rPr>
          <w:rFonts w:ascii="Times New Roman" w:cs="Times New Roman" w:eastAsia="Times New Roman" w:hAnsi="Times New Roman"/>
          <w:sz w:val="14"/>
          <w:szCs w:val="14"/>
          <w:color w:val="auto"/>
        </w:rPr>
        <w:t>and Administrative</w:t>
      </w:r>
    </w:p>
    <w:p>
      <w:pPr>
        <w:jc w:val="both"/>
        <w:ind w:left="600"/>
        <w:spacing w:after="0"/>
        <w:tabs>
          <w:tab w:leader="none" w:pos="2460" w:val="left"/>
        </w:tabs>
        <w:rPr>
          <w:sz w:val="20"/>
          <w:szCs w:val="20"/>
          <w:color w:val="auto"/>
        </w:rPr>
      </w:pPr>
      <w:r>
        <w:rPr>
          <w:rFonts w:ascii="Times New Roman" w:cs="Times New Roman" w:eastAsia="Times New Roman" w:hAnsi="Times New Roman"/>
          <w:sz w:val="14"/>
          <w:szCs w:val="14"/>
          <w:color w:val="auto"/>
        </w:rPr>
        <w:t>Expenses</w:t>
      </w:r>
      <w:r>
        <w:rPr>
          <w:sz w:val="20"/>
          <w:szCs w:val="20"/>
          <w:color w:val="auto"/>
        </w:rPr>
        <w:tab/>
      </w:r>
      <w:r>
        <w:rPr>
          <w:rFonts w:ascii="Times New Roman" w:cs="Times New Roman" w:eastAsia="Times New Roman" w:hAnsi="Times New Roman"/>
          <w:sz w:val="14"/>
          <w:szCs w:val="14"/>
          <w:color w:val="auto"/>
        </w:rPr>
        <w:t>Total</w:t>
      </w:r>
    </w:p>
    <w:p>
      <w:pPr>
        <w:spacing w:after="0" w:line="39" w:lineRule="exact"/>
        <w:rPr>
          <w:sz w:val="20"/>
          <w:szCs w:val="20"/>
          <w:color w:val="auto"/>
        </w:rPr>
      </w:pPr>
    </w:p>
    <w:p>
      <w:pPr>
        <w:sectPr>
          <w:pgSz w:w="11900" w:h="16838" w:orient="portrait"/>
          <w:cols w:equalWidth="0" w:num="3">
            <w:col w:w="2780" w:space="720"/>
            <w:col w:w="4440" w:space="500"/>
            <w:col w:w="2800"/>
          </w:cols>
          <w:pgMar w:left="320" w:top="229"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51.2</w:t>
            </w:r>
          </w:p>
        </w:tc>
        <w:tc>
          <w:tcPr>
            <w:tcW w:w="210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91.4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11.6</w:t>
            </w:r>
          </w:p>
        </w:tc>
        <w:tc>
          <w:tcPr>
            <w:tcW w:w="210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19.6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2440" w:type="dxa"/>
            <w:vAlign w:val="bottom"/>
          </w:tcPr>
          <w:p>
            <w:pPr>
              <w:spacing w:after="0"/>
              <w:rPr>
                <w:sz w:val="19"/>
                <w:szCs w:val="19"/>
                <w:color w:val="auto"/>
              </w:rPr>
            </w:pPr>
          </w:p>
        </w:tc>
        <w:tc>
          <w:tcPr>
            <w:tcW w:w="144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15.9</w:t>
            </w:r>
          </w:p>
        </w:tc>
        <w:tc>
          <w:tcPr>
            <w:tcW w:w="210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31.1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Sub-leases</w:t>
            </w:r>
          </w:p>
        </w:tc>
        <w:tc>
          <w:tcPr>
            <w:tcW w:w="2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(3.5)</w:t>
            </w:r>
          </w:p>
        </w:tc>
        <w:tc>
          <w:tcPr>
            <w:tcW w:w="210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(0.9)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75.2</w:t>
            </w:r>
          </w:p>
        </w:tc>
        <w:tc>
          <w:tcPr>
            <w:tcW w:w="21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141.2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396"/>
        </w:trPr>
        <w:tc>
          <w:tcPr>
            <w:tcW w:w="4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Depreciation and</w:t>
            </w:r>
          </w:p>
        </w:tc>
        <w:tc>
          <w:tcPr>
            <w:tcW w:w="2100" w:type="dxa"/>
            <w:vAlign w:val="bottom"/>
            <w:vMerge w:val="restart"/>
          </w:tcPr>
          <w:p>
            <w:pPr>
              <w:jc w:val="right"/>
              <w:ind w:right="614"/>
              <w:spacing w:after="0"/>
              <w:rPr>
                <w:sz w:val="20"/>
                <w:szCs w:val="20"/>
                <w:color w:val="auto"/>
              </w:rPr>
            </w:pPr>
            <w:r>
              <w:rPr>
                <w:rFonts w:ascii="Times New Roman" w:cs="Times New Roman" w:eastAsia="Times New Roman" w:hAnsi="Times New Roman"/>
                <w:sz w:val="14"/>
                <w:szCs w:val="14"/>
                <w:color w:val="auto"/>
              </w:rPr>
              <w:t>Interest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4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color w:val="auto"/>
              </w:rPr>
              <w:t>Amortization</w:t>
            </w:r>
          </w:p>
        </w:tc>
        <w:tc>
          <w:tcPr>
            <w:tcW w:w="21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20.6</w:t>
            </w:r>
          </w:p>
        </w:tc>
        <w:tc>
          <w:tcPr>
            <w:tcW w:w="210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20.6</w:t>
            </w:r>
          </w:p>
        </w:tc>
        <w:tc>
          <w:tcPr>
            <w:tcW w:w="21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210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499"/>
        </w:trPr>
        <w:tc>
          <w:tcPr>
            <w:tcW w:w="4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color w:val="auto"/>
              </w:rPr>
              <w:t>Cost of Goods</w:t>
            </w:r>
          </w:p>
        </w:tc>
        <w:tc>
          <w:tcPr>
            <w:tcW w:w="2100" w:type="dxa"/>
            <w:vAlign w:val="bottom"/>
          </w:tcPr>
          <w:p>
            <w:pPr>
              <w:jc w:val="right"/>
              <w:ind w:right="654"/>
              <w:spacing w:after="0"/>
              <w:rPr>
                <w:sz w:val="20"/>
                <w:szCs w:val="20"/>
                <w:color w:val="auto"/>
              </w:rPr>
            </w:pPr>
            <w:r>
              <w:rPr>
                <w:rFonts w:ascii="Times New Roman" w:cs="Times New Roman" w:eastAsia="Times New Roman" w:hAnsi="Times New Roman"/>
                <w:sz w:val="14"/>
                <w:szCs w:val="14"/>
                <w:color w:val="auto"/>
              </w:rPr>
              <w:t>Selling, General</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4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100" w:type="dxa"/>
            <w:vAlign w:val="bottom"/>
          </w:tcPr>
          <w:p>
            <w:pPr>
              <w:jc w:val="right"/>
              <w:ind w:right="654"/>
              <w:spacing w:after="0" w:line="149" w:lineRule="exact"/>
              <w:rPr>
                <w:sz w:val="20"/>
                <w:szCs w:val="20"/>
                <w:color w:val="auto"/>
              </w:rPr>
            </w:pPr>
            <w:r>
              <w:rPr>
                <w:rFonts w:ascii="Times New Roman" w:cs="Times New Roman" w:eastAsia="Times New Roman" w:hAnsi="Times New Roman"/>
                <w:sz w:val="14"/>
                <w:szCs w:val="14"/>
                <w:color w:val="auto"/>
              </w:rPr>
              <w:t>and Administrative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vMerge w:val="continue"/>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color w:val="auto"/>
              </w:rPr>
              <w:t>Sold</w:t>
            </w:r>
          </w:p>
        </w:tc>
        <w:tc>
          <w:tcPr>
            <w:tcW w:w="21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rPr>
              <w:t>Expenses</w:t>
            </w: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30.0</w:t>
            </w:r>
          </w:p>
        </w:tc>
        <w:tc>
          <w:tcPr>
            <w:tcW w:w="210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109.7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15.4</w:t>
            </w:r>
          </w:p>
        </w:tc>
        <w:tc>
          <w:tcPr>
            <w:tcW w:w="210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20.2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2440" w:type="dxa"/>
            <w:vAlign w:val="bottom"/>
          </w:tcPr>
          <w:p>
            <w:pPr>
              <w:spacing w:after="0"/>
              <w:rPr>
                <w:sz w:val="19"/>
                <w:szCs w:val="19"/>
                <w:color w:val="auto"/>
              </w:rPr>
            </w:pPr>
          </w:p>
        </w:tc>
        <w:tc>
          <w:tcPr>
            <w:tcW w:w="144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9.7</w:t>
            </w:r>
          </w:p>
        </w:tc>
        <w:tc>
          <w:tcPr>
            <w:tcW w:w="210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35.8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Sub-leases</w:t>
            </w:r>
          </w:p>
        </w:tc>
        <w:tc>
          <w:tcPr>
            <w:tcW w:w="2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(0.7)</w:t>
            </w:r>
          </w:p>
        </w:tc>
        <w:tc>
          <w:tcPr>
            <w:tcW w:w="210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54.4</w:t>
            </w:r>
          </w:p>
        </w:tc>
        <w:tc>
          <w:tcPr>
            <w:tcW w:w="21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164.2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392"/>
        </w:trPr>
        <w:tc>
          <w:tcPr>
            <w:tcW w:w="4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Depreciation and</w:t>
            </w:r>
          </w:p>
        </w:tc>
        <w:tc>
          <w:tcPr>
            <w:tcW w:w="2100" w:type="dxa"/>
            <w:vAlign w:val="bottom"/>
            <w:vMerge w:val="restart"/>
          </w:tcPr>
          <w:p>
            <w:pPr>
              <w:jc w:val="right"/>
              <w:ind w:right="614"/>
              <w:spacing w:after="0"/>
              <w:rPr>
                <w:sz w:val="20"/>
                <w:szCs w:val="20"/>
                <w:color w:val="auto"/>
              </w:rPr>
            </w:pPr>
            <w:r>
              <w:rPr>
                <w:rFonts w:ascii="Times New Roman" w:cs="Times New Roman" w:eastAsia="Times New Roman" w:hAnsi="Times New Roman"/>
                <w:sz w:val="14"/>
                <w:szCs w:val="14"/>
                <w:color w:val="auto"/>
              </w:rPr>
              <w:t>Interest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color w:val="auto"/>
              </w:rPr>
              <w:t>Amortization</w:t>
            </w:r>
          </w:p>
        </w:tc>
        <w:tc>
          <w:tcPr>
            <w:tcW w:w="21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15.4</w:t>
            </w:r>
          </w:p>
        </w:tc>
        <w:tc>
          <w:tcPr>
            <w:tcW w:w="210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15.4</w:t>
            </w:r>
          </w:p>
        </w:tc>
        <w:tc>
          <w:tcPr>
            <w:tcW w:w="21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210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Classification</w:t>
            </w:r>
          </w:p>
        </w:tc>
        <w:tc>
          <w:tcPr>
            <w:tcW w:w="1180" w:type="dxa"/>
            <w:vAlign w:val="bottom"/>
          </w:tcPr>
          <w:p>
            <w:pPr>
              <w:spacing w:after="0"/>
              <w:rPr>
                <w:sz w:val="16"/>
                <w:szCs w:val="16"/>
                <w:color w:val="auto"/>
              </w:rPr>
            </w:pPr>
          </w:p>
        </w:tc>
        <w:tc>
          <w:tcPr>
            <w:tcW w:w="16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23"/>
        </w:trPr>
        <w:tc>
          <w:tcPr>
            <w:tcW w:w="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ROU operating lease assets</w:t>
            </w:r>
          </w:p>
        </w:tc>
        <w:tc>
          <w:tcPr>
            <w:tcW w:w="3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ROU operating lease assets</w:t>
            </w:r>
          </w:p>
        </w:tc>
        <w:tc>
          <w:tcPr>
            <w:tcW w:w="11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408.7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170.0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(88.7)</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7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81.3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0" w:type="dxa"/>
            <w:vAlign w:val="bottom"/>
            <w:tcBorders>
              <w:bottom w:val="single" w:sz="8" w:color="auto"/>
            </w:tcBorders>
            <w:shd w:val="clear" w:color="auto" w:fill="CCEEFF"/>
          </w:tcPr>
          <w:p>
            <w:pPr>
              <w:spacing w:after="0"/>
              <w:rPr>
                <w:sz w:val="19"/>
                <w:szCs w:val="19"/>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37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490.0</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20" w:type="dxa"/>
            <w:vAlign w:val="bottom"/>
            <w:tcBorders>
              <w:bottom w:val="single" w:sz="8" w:color="auto"/>
            </w:tcBorders>
          </w:tcPr>
          <w:p>
            <w:pPr>
              <w:spacing w:after="0"/>
              <w:rPr>
                <w:sz w:val="20"/>
                <w:szCs w:val="20"/>
                <w:color w:val="auto"/>
              </w:rPr>
            </w:pPr>
          </w:p>
        </w:tc>
      </w:tr>
      <w:tr>
        <w:trPr>
          <w:trHeight w:val="94"/>
        </w:trPr>
        <w:tc>
          <w:tcPr>
            <w:tcW w:w="2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c>
          <w:tcPr>
            <w:tcW w:w="37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230"/>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w:t>
            </w:r>
          </w:p>
        </w:tc>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122.4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3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w:t>
            </w:r>
          </w:p>
        </w:tc>
        <w:tc>
          <w:tcPr>
            <w:tcW w:w="37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304.4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liabilities</w:t>
            </w:r>
          </w:p>
        </w:tc>
        <w:tc>
          <w:tcPr>
            <w:tcW w:w="3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426.8</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4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6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22.7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7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60.1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finance liabilities</w:t>
            </w:r>
          </w:p>
        </w:tc>
        <w:tc>
          <w:tcPr>
            <w:tcW w:w="3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82.8</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tcBorders>
              <w:bottom w:val="single" w:sz="8" w:color="auto"/>
            </w:tcBorders>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7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509.6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20" w:type="dxa"/>
            <w:vAlign w:val="bottom"/>
            <w:tcBorders>
              <w:bottom w:val="single" w:sz="8" w:color="auto"/>
            </w:tcBorders>
            <w:shd w:val="clear" w:color="auto" w:fill="CCEEFF"/>
          </w:tcPr>
          <w:p>
            <w:pPr>
              <w:spacing w:after="0"/>
              <w:rPr>
                <w:sz w:val="20"/>
                <w:szCs w:val="20"/>
                <w:color w:val="auto"/>
              </w:rPr>
            </w:pPr>
          </w:p>
        </w:tc>
      </w:tr>
      <w:tr>
        <w:trPr>
          <w:trHeight w:val="635"/>
        </w:trPr>
        <w:tc>
          <w:tcPr>
            <w:tcW w:w="20" w:type="dxa"/>
            <w:vAlign w:val="bottom"/>
          </w:tcPr>
          <w:p>
            <w:pPr>
              <w:spacing w:after="0"/>
              <w:rPr>
                <w:sz w:val="24"/>
                <w:szCs w:val="24"/>
                <w:color w:val="auto"/>
              </w:rPr>
            </w:pPr>
          </w:p>
        </w:tc>
        <w:tc>
          <w:tcPr>
            <w:tcW w:w="7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Maturities of lease liabilities as of December 31, 2025, are as follows:</w:t>
            </w: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9"/>
        </w:trPr>
        <w:tc>
          <w:tcPr>
            <w:tcW w:w="20" w:type="dxa"/>
            <w:vAlign w:val="bottom"/>
          </w:tcPr>
          <w:p>
            <w:pPr>
              <w:spacing w:after="0"/>
              <w:rPr>
                <w:sz w:val="24"/>
                <w:szCs w:val="24"/>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37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Finance Leases</w:t>
            </w: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Operating Leases</w:t>
            </w: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330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740" w:type="dxa"/>
            <w:vAlign w:val="bottom"/>
            <w:tcBorders>
              <w:top w:val="single" w:sz="8" w:color="auto"/>
            </w:tcBorders>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25.6</w:t>
            </w:r>
          </w:p>
        </w:tc>
        <w:tc>
          <w:tcPr>
            <w:tcW w:w="16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151.7</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74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21.8</w:t>
            </w:r>
          </w:p>
        </w:tc>
        <w:tc>
          <w:tcPr>
            <w:tcW w:w="1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117.9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17.0</w:t>
            </w:r>
          </w:p>
        </w:tc>
        <w:tc>
          <w:tcPr>
            <w:tcW w:w="16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85.1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74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11.0</w:t>
            </w:r>
          </w:p>
        </w:tc>
        <w:tc>
          <w:tcPr>
            <w:tcW w:w="1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49.3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5.9</w:t>
            </w:r>
          </w:p>
        </w:tc>
        <w:tc>
          <w:tcPr>
            <w:tcW w:w="16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32.8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9.2</w:t>
            </w:r>
          </w:p>
        </w:tc>
        <w:tc>
          <w:tcPr>
            <w:tcW w:w="1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49.1</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90.5</w:t>
            </w:r>
          </w:p>
        </w:tc>
        <w:tc>
          <w:tcPr>
            <w:tcW w:w="16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485.9</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7.7</w:t>
            </w:r>
          </w:p>
        </w:tc>
        <w:tc>
          <w:tcPr>
            <w:tcW w:w="1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59.1</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Total</w:t>
            </w:r>
          </w:p>
        </w:tc>
        <w:tc>
          <w:tcPr>
            <w:tcW w:w="3740" w:type="dxa"/>
            <w:vAlign w:val="bottom"/>
            <w:tcBorders>
              <w:bottom w:val="single" w:sz="8" w:color="auto"/>
            </w:tcBorders>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82.8</w:t>
            </w:r>
          </w:p>
        </w:tc>
        <w:tc>
          <w:tcPr>
            <w:tcW w:w="16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426.8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20" w:type="dxa"/>
            <w:vAlign w:val="bottom"/>
          </w:tcPr>
          <w:p>
            <w:pPr>
              <w:spacing w:after="0"/>
              <w:rPr>
                <w:sz w:val="20"/>
                <w:szCs w:val="20"/>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approximately $2.9 million of leases that commenced after December 31, 2025, that created rights and obligations to the Company. These leases are not included in the above maturity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term and discount rate are as follows: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80" w:type="dxa"/>
            <w:vAlign w:val="bottom"/>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4.5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4.7 years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years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80" w:type="dxa"/>
            <w:vAlign w:val="bottom"/>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5.9 %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3.7 %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3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80" w:type="dxa"/>
            <w:vAlign w:val="bottom"/>
          </w:tcPr>
          <w:p>
            <w:pPr>
              <w:jc w:val="right"/>
              <w:ind w:right="274"/>
              <w:spacing w:after="0"/>
              <w:rPr>
                <w:sz w:val="20"/>
                <w:szCs w:val="20"/>
                <w:color w:val="auto"/>
              </w:rPr>
            </w:pPr>
            <w:r>
              <w:rPr>
                <w:rFonts w:ascii="Times New Roman" w:cs="Times New Roman" w:eastAsia="Times New Roman" w:hAnsi="Times New Roman"/>
                <w:sz w:val="14"/>
                <w:szCs w:val="14"/>
                <w:color w:val="auto"/>
              </w:rPr>
              <w:t>Twelve Months Ended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7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December 31,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149.2</w:t>
            </w:r>
          </w:p>
        </w:tc>
        <w:tc>
          <w:tcPr>
            <w:tcW w:w="1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142.3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3.2</w:t>
            </w:r>
          </w:p>
        </w:tc>
        <w:tc>
          <w:tcPr>
            <w:tcW w:w="17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3.1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40" w:type="dxa"/>
            <w:vAlign w:val="bottom"/>
          </w:tcPr>
          <w:p>
            <w:pPr>
              <w:spacing w:after="0"/>
              <w:rPr>
                <w:sz w:val="19"/>
                <w:szCs w:val="19"/>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22.9</w:t>
            </w:r>
          </w:p>
        </w:tc>
        <w:tc>
          <w:tcPr>
            <w:tcW w:w="1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19.8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148.9</w:t>
            </w:r>
          </w:p>
        </w:tc>
        <w:tc>
          <w:tcPr>
            <w:tcW w:w="1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77.7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16.7</w:t>
            </w:r>
          </w:p>
        </w:tc>
        <w:tc>
          <w:tcPr>
            <w:tcW w:w="17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29.5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40" w:type="dxa"/>
            <w:vAlign w:val="bottom"/>
            <w:tcBorders>
              <w:bottom w:val="single" w:sz="8" w:color="auto"/>
            </w:tcBorders>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ROU operating lease assets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126.7</w:t>
            </w:r>
          </w:p>
        </w:tc>
        <w:tc>
          <w:tcPr>
            <w:tcW w:w="17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121.6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Amortization of ROU operating lease assets during the period is reflected in Other assets and prepaid expenses on the Consolidated Statements of Cash 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compensation expense for all share-based payments granted for the years ended December 31, 2025, 2024 and 2023 based on the grant date fair market value estimated in accordance with the provisions of ASC 718-10. Compensation expense is recognized on a straight-line basis over the options’ or other awards’ estimated lives for fixed awards with ratable vesting provisions.</w:t>
      </w:r>
    </w:p>
    <w:p>
      <w:pPr>
        <w:spacing w:after="0" w:line="18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On May 19, 2017, the Company’s stockholders approved the 2017 Long-Term Incentive Plan (the “2017 Plan”), which allows the Company to reserve up to a maximum of 3 million shares of common stock for issuance upon the grant or exercise of stock options, restricted stock, restricted stock units (“RSUs”) and other types of awards, to directors and key employees through the 2027 stockholders’ meeting, unless earlier terminated or amended.</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Under the 2017 Plan, the grant date fair market value of restricted stock and RSUs is equal to the closing market price of the Company’s common stock on the date of the grant, and such awards generally vest between three and five years. In addition, option awards may be granted with an exercise price equal to or greater than the fair market value of the Company’s common stock on the date of the grant, and such awards generally vest between three and five years with a 10-year contractual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Plans</w:t>
      </w:r>
    </w:p>
    <w:p>
      <w:pPr>
        <w:spacing w:after="0" w:line="254"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 summary of the Company’s RSUs under the Company’s long-term incentive plans as of December 31, 2025, and changes during the year then ended is presented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4"/>
                <w:szCs w:val="14"/>
                <w:color w:val="auto"/>
              </w:rPr>
              <w:t>Weighted</w:t>
            </w: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20" w:type="dxa"/>
            <w:vAlign w:val="bottom"/>
          </w:tcPr>
          <w:p>
            <w:pPr>
              <w:jc w:val="right"/>
              <w:ind w:right="23"/>
              <w:spacing w:after="0" w:line="139" w:lineRule="exact"/>
              <w:rPr>
                <w:sz w:val="20"/>
                <w:szCs w:val="20"/>
                <w:color w:val="auto"/>
              </w:rPr>
            </w:pPr>
            <w:r>
              <w:rPr>
                <w:rFonts w:ascii="Times New Roman" w:cs="Times New Roman" w:eastAsia="Times New Roman" w:hAnsi="Times New Roman"/>
                <w:sz w:val="14"/>
                <w:szCs w:val="14"/>
                <w:color w:val="auto"/>
              </w:rPr>
              <w:t>Average</w:t>
            </w: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Weighted Average</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4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4"/>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for share and fair value)</w:t>
            </w:r>
          </w:p>
        </w:tc>
        <w:tc>
          <w:tcPr>
            <w:tcW w:w="2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20" w:type="dxa"/>
            <w:vAlign w:val="bottom"/>
          </w:tcPr>
          <w:p>
            <w:pPr>
              <w:jc w:val="right"/>
              <w:ind w:right="23"/>
              <w:spacing w:after="0" w:line="145" w:lineRule="exact"/>
              <w:rPr>
                <w:sz w:val="20"/>
                <w:szCs w:val="20"/>
                <w:color w:val="auto"/>
              </w:rPr>
            </w:pPr>
            <w:r>
              <w:rPr>
                <w:rFonts w:ascii="Times New Roman" w:cs="Times New Roman" w:eastAsia="Times New Roman" w:hAnsi="Times New Roman"/>
                <w:sz w:val="14"/>
                <w:szCs w:val="14"/>
                <w:color w:val="auto"/>
              </w:rPr>
              <w:t>Contractual</w:t>
            </w:r>
          </w:p>
        </w:tc>
        <w:tc>
          <w:tcPr>
            <w:tcW w:w="4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auto"/>
            </w:tcBorders>
            <w:vMerge w:val="continue"/>
          </w:tcPr>
          <w:p>
            <w:pPr>
              <w:spacing w:after="0"/>
              <w:rPr>
                <w:sz w:val="17"/>
                <w:szCs w:val="17"/>
                <w:color w:val="auto"/>
              </w:rPr>
            </w:pPr>
          </w:p>
        </w:tc>
        <w:tc>
          <w:tcPr>
            <w:tcW w:w="21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color w:val="auto"/>
              </w:rPr>
              <w:t>Grant Date Fair Value</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Term (Years)</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Intrinsic Value</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December 31, 2024</w:t>
            </w:r>
          </w:p>
        </w:tc>
        <w:tc>
          <w:tcPr>
            <w:tcW w:w="2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517,751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98.34</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316,744</w:t>
            </w:r>
          </w:p>
        </w:tc>
        <w:tc>
          <w:tcPr>
            <w:tcW w:w="180" w:type="dxa"/>
            <w:vAlign w:val="bottom"/>
          </w:tcPr>
          <w:p>
            <w:pPr>
              <w:spacing w:after="0"/>
              <w:rPr>
                <w:sz w:val="19"/>
                <w:szCs w:val="19"/>
                <w:color w:val="auto"/>
              </w:rPr>
            </w:pPr>
          </w:p>
        </w:tc>
        <w:tc>
          <w:tcPr>
            <w:tcW w:w="1660" w:type="dxa"/>
            <w:vAlign w:val="bottom"/>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116.27</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(236,233)</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117.12</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(42,223)</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114.76</w:t>
            </w: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December 31, 2025</w:t>
            </w:r>
          </w:p>
        </w:tc>
        <w:tc>
          <w:tcPr>
            <w:tcW w:w="2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556,039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99.33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0" w:type="dxa"/>
            <w:vAlign w:val="bottom"/>
          </w:tcPr>
          <w:p>
            <w:pPr>
              <w:spacing w:after="0"/>
              <w:rPr>
                <w:sz w:val="1"/>
                <w:szCs w:val="1"/>
                <w:color w:val="auto"/>
              </w:rPr>
            </w:pPr>
          </w:p>
        </w:tc>
      </w:tr>
      <w:tr>
        <w:trPr>
          <w:trHeight w:val="237"/>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Expected to vest as of December 31, 2025</w:t>
            </w:r>
          </w:p>
        </w:tc>
        <w:tc>
          <w:tcPr>
            <w:tcW w:w="2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556,039</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grant date fair value of restricted stock units granted under the 2017 Plan during 2025, 2024, and 2023 was as follows:</w:t>
      </w:r>
    </w:p>
    <w:p>
      <w:pPr>
        <w:spacing w:after="0" w:line="50"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4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color w:val="auto"/>
              </w:rPr>
              <w:t>2024</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3"/>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116.27</w:t>
            </w:r>
          </w:p>
        </w:tc>
        <w:tc>
          <w:tcPr>
            <w:tcW w:w="154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115.21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recognized stock-based compensation costs related to the issuance of RSUs of $30.0 million ($22.2 million, net of taxes), $27.5 million ($20.4 million, net of taxes) and $21.0 ($15.5 million, net of taxes) for the years ended December 31, 2025, 2024 and 2023, respectively, which has been allocated to selling, general and administrative expenses and cost of goods sold. Pre-tax unrecognized compensation expense for unvested RSUs granted to employees, net of estimated forfeitures, was $21.9 million as of December 31, 2025, and will be recognized as expense over a weighted-average period of approximately 1.88 years.</w:t>
      </w:r>
    </w:p>
    <w:p>
      <w:pPr>
        <w:spacing w:after="0" w:line="27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2025, 2024 and 2023, shares were awarded each year to certain non-employee directors in lieu of cash for their annual retainers. The total number of shares were 4,438, 4,705, and 3,203,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Income and Expense, net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other (income) expense, net: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540" w:type="dxa"/>
            <w:vAlign w:val="bottom"/>
          </w:tcPr>
          <w:p>
            <w:pPr>
              <w:spacing w:after="0"/>
              <w:rPr>
                <w:sz w:val="16"/>
                <w:szCs w:val="16"/>
                <w:color w:val="auto"/>
              </w:rPr>
            </w:pPr>
          </w:p>
        </w:tc>
        <w:tc>
          <w:tcPr>
            <w:tcW w:w="14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47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losses, net</w:t>
            </w:r>
          </w:p>
        </w:tc>
        <w:tc>
          <w:tcPr>
            <w:tcW w:w="25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b w:val="1"/>
                <w:bCs w:val="1"/>
                <w:color w:val="auto"/>
              </w:rPr>
              <w:t>12.7</w:t>
            </w:r>
          </w:p>
        </w:tc>
        <w:tc>
          <w:tcPr>
            <w:tcW w:w="15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11.2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other, net</w:t>
            </w:r>
          </w:p>
        </w:tc>
        <w:tc>
          <w:tcPr>
            <w:tcW w:w="25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(9.4)</w:t>
            </w:r>
          </w:p>
        </w:tc>
        <w:tc>
          <w:tcPr>
            <w:tcW w:w="15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rPr>
              <w:t>(9.2)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and expense, net</w:t>
            </w:r>
          </w:p>
        </w:tc>
        <w:tc>
          <w:tcPr>
            <w:tcW w:w="25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b w:val="1"/>
                <w:bCs w:val="1"/>
                <w:color w:val="auto"/>
              </w:rPr>
              <w:t>3.3</w:t>
            </w:r>
          </w:p>
        </w:tc>
        <w:tc>
          <w:tcPr>
            <w:tcW w:w="150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earnings (loss) before income taxes for operations: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580" w:type="dxa"/>
            <w:vAlign w:val="bottom"/>
          </w:tcPr>
          <w:p>
            <w:pPr>
              <w:spacing w:after="0"/>
              <w:rPr>
                <w:sz w:val="16"/>
                <w:szCs w:val="16"/>
                <w:color w:val="auto"/>
              </w:rPr>
            </w:pPr>
          </w:p>
        </w:tc>
        <w:tc>
          <w:tcPr>
            <w:tcW w:w="14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46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97.4</w:t>
            </w:r>
          </w:p>
        </w:tc>
        <w:tc>
          <w:tcPr>
            <w:tcW w:w="150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289.0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5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371.3</w:t>
            </w:r>
          </w:p>
        </w:tc>
        <w:tc>
          <w:tcPr>
            <w:tcW w:w="15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rPr>
              <w:t>354.0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5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468.7</w:t>
            </w:r>
          </w:p>
        </w:tc>
        <w:tc>
          <w:tcPr>
            <w:tcW w:w="150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643.0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r>
    </w:tbl>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(benefit) expense for the years ended December 31, 2025, 2024 and 2023 consists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920" w:type="dxa"/>
            <w:vAlign w:val="bottom"/>
          </w:tcPr>
          <w:p>
            <w:pPr>
              <w:spacing w:after="0"/>
              <w:rPr>
                <w:sz w:val="16"/>
                <w:szCs w:val="16"/>
                <w:color w:val="auto"/>
              </w:rPr>
            </w:pPr>
          </w:p>
        </w:tc>
        <w:tc>
          <w:tcPr>
            <w:tcW w:w="14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42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29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federal</w:t>
            </w:r>
          </w:p>
        </w:tc>
        <w:tc>
          <w:tcPr>
            <w:tcW w:w="2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120.1</w:t>
            </w:r>
          </w:p>
        </w:tc>
        <w:tc>
          <w:tcPr>
            <w:tcW w:w="150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86.2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29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9.2</w:t>
            </w:r>
          </w:p>
        </w:tc>
        <w:tc>
          <w:tcPr>
            <w:tcW w:w="150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9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101.3</w:t>
            </w:r>
          </w:p>
        </w:tc>
        <w:tc>
          <w:tcPr>
            <w:tcW w:w="15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93.2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23"/>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29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230.6</w:t>
            </w:r>
          </w:p>
        </w:tc>
        <w:tc>
          <w:tcPr>
            <w:tcW w:w="150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185.4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federal</w:t>
            </w:r>
          </w:p>
        </w:tc>
        <w:tc>
          <w:tcPr>
            <w:tcW w:w="29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(93.2)</w:t>
            </w:r>
          </w:p>
        </w:tc>
        <w:tc>
          <w:tcPr>
            <w:tcW w:w="150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(26.3)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2920" w:type="dxa"/>
            <w:vAlign w:val="bottom"/>
          </w:tcPr>
          <w:p>
            <w:pPr>
              <w:spacing w:after="0"/>
              <w:rPr>
                <w:sz w:val="19"/>
                <w:szCs w:val="19"/>
                <w:color w:val="auto"/>
              </w:rPr>
            </w:pPr>
          </w:p>
        </w:tc>
        <w:tc>
          <w:tcPr>
            <w:tcW w:w="14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(1.7)</w:t>
            </w:r>
          </w:p>
        </w:tc>
        <w:tc>
          <w:tcPr>
            <w:tcW w:w="15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(7.3)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9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(36.9)</w:t>
            </w:r>
          </w:p>
        </w:tc>
        <w:tc>
          <w:tcPr>
            <w:tcW w:w="150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(23.6)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29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(131.8)</w:t>
            </w:r>
          </w:p>
        </w:tc>
        <w:tc>
          <w:tcPr>
            <w:tcW w:w="15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(57.2)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30"/>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9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98.8</w:t>
            </w:r>
          </w:p>
        </w:tc>
        <w:tc>
          <w:tcPr>
            <w:tcW w:w="150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128.2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bl>
    <w:p>
      <w:pPr>
        <w:spacing w:after="0" w:line="3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geographic dispersion of earnings and losses contributes to the annual changes in the Company’s effective tax rates. Approximately 21% of the Company’s current year earnings before income taxes was generated in the U.S. The Company is also subject to taxation in other jurisdictions where it has operations, including Australia, Belgium, Brazil, Bulgaria, France, Ireland, Italy, Luxembourg, Malaysia, Mexico, the Netherlands, New Zealand, Poland, Russia, Spain and the United Kingdom. The effective tax rates that the Company accrues in these jurisdictions vary widely, but they are generally lower than the Company’s overall effective tax rate. The Company’s domestic effective tax rates for the years ended December 31, 2025, 2024 and 2023 were 35.3%, 20.3%, and (5.2)%, respectively, and its non-U.S. effective tax rates for the years ended December 31, 2025, 2024 and 2023 were 17.3%, 19.6%, and 71.3%, respectively. The difference in rates applicable in foreign jurisdictions results from many factors, including lower statutory rates, increase in valuation allowance, historical loss carry-forwards, financing arrangements, and other factors. The Company’s effective tax rate has been and will continue to be impacted by the geographical dispersion of the Company’s earnings and losses. To the extent that domestic earnings increase while the foreign earnings remain flat or decrease, or increase at a lower rate, the Company’s effective tax rate will increase.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Disaggregating Income Tax Disclosures</w:t>
      </w:r>
    </w:p>
    <w:p>
      <w:pPr>
        <w:spacing w:after="0" w:line="23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applies to all entities subject to income taxes. The standard requires disaggregated information about a reporting entity’s effective tax rate reconciliation as well as information on income taxes paid. The standard also updates the quarterly disclosure requirements for supplemental cash flows information to require disclosure of income taxes paid, net of refunds received. The standard is intended to benefit investors by providing more detailed income tax disclosures that would be useful in making capital allocation decisions.</w:t>
      </w:r>
    </w:p>
    <w:p>
      <w:pPr>
        <w:spacing w:after="0" w:line="19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Following is a reconciliation of the amount of income tax expense (benefit) from continuing operations and the amount computed by multiplying earnings before income taxes by the United States federal statutory income tax rate based on the newly adopted disclosure requirements under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for the year ended December 31, 2025:</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00" w:type="dxa"/>
            <w:vAlign w:val="bottom"/>
            <w:tcBorders>
              <w:bottom w:val="single" w:sz="8" w:color="auto"/>
            </w:tcBorders>
            <w:shd w:val="clear" w:color="auto" w:fill="CCEEFF"/>
          </w:tcPr>
          <w:p>
            <w:pPr>
              <w:spacing w:after="0"/>
              <w:rPr>
                <w:sz w:val="19"/>
                <w:szCs w:val="19"/>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 statutory income tax rate</w:t>
            </w:r>
          </w:p>
        </w:tc>
        <w:tc>
          <w:tcPr>
            <w:tcW w:w="2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federal</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2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Foreign tax credits</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Other tax credits</w:t>
            </w:r>
          </w:p>
        </w:tc>
        <w:tc>
          <w:tcPr>
            <w:tcW w:w="234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No permanent establishment</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Other</w:t>
            </w:r>
          </w:p>
        </w:tc>
        <w:tc>
          <w:tcPr>
            <w:tcW w:w="23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Amended returns</w:t>
            </w:r>
          </w:p>
        </w:tc>
        <w:tc>
          <w:tcPr>
            <w:tcW w:w="23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Other</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tax laws/rates</w:t>
            </w:r>
          </w:p>
        </w:tc>
        <w:tc>
          <w:tcPr>
            <w:tcW w:w="23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State &amp; Local income taxes, net of federal effect *</w:t>
            </w:r>
          </w:p>
        </w:tc>
        <w:tc>
          <w:tcPr>
            <w:tcW w:w="23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Belgium</w:t>
            </w:r>
          </w:p>
        </w:tc>
        <w:tc>
          <w:tcPr>
            <w:tcW w:w="2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Patent box deduction</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Changes in valuation allowances</w:t>
            </w:r>
          </w:p>
        </w:tc>
        <w:tc>
          <w:tcPr>
            <w:tcW w:w="234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Other</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2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Notional interest deduction</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Other</w:t>
            </w:r>
          </w:p>
        </w:tc>
        <w:tc>
          <w:tcPr>
            <w:tcW w:w="23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Luxembourg</w:t>
            </w:r>
          </w:p>
        </w:tc>
        <w:tc>
          <w:tcPr>
            <w:tcW w:w="2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Changes in valuation allowances</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Currency translation adjustments</w:t>
            </w:r>
          </w:p>
        </w:tc>
        <w:tc>
          <w:tcPr>
            <w:tcW w:w="234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Other</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Malta</w:t>
            </w:r>
          </w:p>
        </w:tc>
        <w:tc>
          <w:tcPr>
            <w:tcW w:w="2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Changes in valuation allowances</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General tax credits</w:t>
            </w:r>
          </w:p>
        </w:tc>
        <w:tc>
          <w:tcPr>
            <w:tcW w:w="234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Notional interest deduction</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Nondeductible interest</w:t>
            </w:r>
          </w:p>
        </w:tc>
        <w:tc>
          <w:tcPr>
            <w:tcW w:w="23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Other</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Russia</w:t>
            </w:r>
          </w:p>
        </w:tc>
        <w:tc>
          <w:tcPr>
            <w:tcW w:w="23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Spain</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Switzerland</w:t>
            </w:r>
          </w:p>
        </w:tc>
        <w:tc>
          <w:tcPr>
            <w:tcW w:w="2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Changes in valuation allowances</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Other</w:t>
            </w:r>
          </w:p>
        </w:tc>
        <w:tc>
          <w:tcPr>
            <w:tcW w:w="234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Worldwide changes in unrecognized tax benefits</w:t>
            </w:r>
          </w:p>
        </w:tc>
        <w:tc>
          <w:tcPr>
            <w:tcW w:w="2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98.8</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21.1 %</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State and local taxes in California, Oklahoma, St. Louis, Minnesota and Texas made up the majority (greater than 50 percent)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Following is a supplemental disclosures of cash flow information related to income taxes paid based on the newly adopted disclosure requirements under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for the year ended December 31, 2025: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20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9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U.S. Federal</w:t>
            </w:r>
            <w:r>
              <w:rPr>
                <w:rFonts w:ascii="Times New Roman" w:cs="Times New Roman" w:eastAsia="Times New Roman" w:hAnsi="Times New Roman"/>
                <w:sz w:val="23"/>
                <w:szCs w:val="23"/>
                <w:b w:val="1"/>
                <w:bCs w:val="1"/>
                <w:color w:val="auto"/>
                <w:vertAlign w:val="superscript"/>
              </w:rPr>
              <w:t>(1)</w:t>
            </w:r>
          </w:p>
        </w:tc>
        <w:tc>
          <w:tcPr>
            <w:tcW w:w="4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57"/>
        </w:trPr>
        <w:tc>
          <w:tcPr>
            <w:tcW w:w="594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U.S. State and Local</w:t>
            </w:r>
            <w:r>
              <w:rPr>
                <w:rFonts w:ascii="Times New Roman" w:cs="Times New Roman" w:eastAsia="Times New Roman" w:hAnsi="Times New Roman"/>
                <w:sz w:val="23"/>
                <w:szCs w:val="23"/>
                <w:b w:val="1"/>
                <w:bCs w:val="1"/>
                <w:color w:val="auto"/>
                <w:vertAlign w:val="superscript"/>
              </w:rPr>
              <w:t>(2)</w:t>
            </w:r>
          </w:p>
        </w:tc>
        <w:tc>
          <w:tcPr>
            <w:tcW w:w="4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57"/>
        </w:trPr>
        <w:tc>
          <w:tcPr>
            <w:tcW w:w="594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4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4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Russia</w:t>
            </w:r>
          </w:p>
        </w:tc>
        <w:tc>
          <w:tcPr>
            <w:tcW w:w="4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4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56"/>
        </w:trPr>
        <w:tc>
          <w:tcPr>
            <w:tcW w:w="5940" w:type="dxa"/>
            <w:vAlign w:val="bottom"/>
            <w:shd w:val="clear" w:color="auto" w:fill="CCEEFF"/>
          </w:tcPr>
          <w:p>
            <w:pPr>
              <w:spacing w:after="0"/>
              <w:rPr>
                <w:sz w:val="22"/>
                <w:szCs w:val="22"/>
                <w:color w:val="auto"/>
              </w:rPr>
            </w:pPr>
          </w:p>
        </w:tc>
        <w:tc>
          <w:tcPr>
            <w:tcW w:w="4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5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4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Total</w:t>
            </w:r>
          </w:p>
        </w:tc>
        <w:tc>
          <w:tcPr>
            <w:tcW w:w="4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57"/>
        </w:trPr>
        <w:tc>
          <w:tcPr>
            <w:tcW w:w="5940" w:type="dxa"/>
            <w:vAlign w:val="bottom"/>
            <w:tcBorders>
              <w:bottom w:val="single" w:sz="8" w:color="auto"/>
            </w:tcBorders>
          </w:tcPr>
          <w:p>
            <w:pPr>
              <w:spacing w:after="0"/>
              <w:rPr>
                <w:sz w:val="22"/>
                <w:szCs w:val="22"/>
                <w:color w:val="auto"/>
              </w:rPr>
            </w:pPr>
          </w:p>
        </w:tc>
        <w:tc>
          <w:tcPr>
            <w:tcW w:w="4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30"/>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w:t>
            </w:r>
          </w:p>
        </w:tc>
      </w:tr>
    </w:tbl>
    <w:p>
      <w:pPr>
        <w:spacing w:after="0" w:line="42" w:lineRule="exact"/>
        <w:rPr>
          <w:sz w:val="20"/>
          <w:szCs w:val="20"/>
          <w:color w:val="auto"/>
        </w:rPr>
      </w:pPr>
    </w:p>
    <w:p>
      <w:pPr>
        <w:ind w:left="160" w:hanging="152"/>
        <w:spacing w:after="0"/>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presented do not include payments for credits purchased from third parties.</w:t>
      </w:r>
    </w:p>
    <w:p>
      <w:pPr>
        <w:spacing w:after="0" w:line="4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 individual jurisdiction meets the 5% disaggregation threshold.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Following is a reconciliation of the amount of income tax expense (benefit) from continuing operations and the amount computed by multiplying earnings before income taxes by the United States federal statutory income tax rate for the years ended December 31, 2024, and 2023 prior to adopting disclosure requirements under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360" w:type="dxa"/>
            <w:vAlign w:val="bottom"/>
          </w:tcPr>
          <w:p>
            <w:pPr>
              <w:spacing w:after="0"/>
              <w:rPr>
                <w:sz w:val="16"/>
                <w:szCs w:val="16"/>
                <w:color w:val="auto"/>
              </w:rPr>
            </w:pPr>
          </w:p>
        </w:tc>
        <w:tc>
          <w:tcPr>
            <w:tcW w:w="142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rPr>
              <w:t>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4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at statutory rate</w:t>
            </w:r>
          </w:p>
        </w:tc>
        <w:tc>
          <w:tcPr>
            <w:tcW w:w="2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135.0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2360" w:type="dxa"/>
            <w:vAlign w:val="bottom"/>
          </w:tcPr>
          <w:p>
            <w:pPr>
              <w:spacing w:after="0"/>
              <w:rPr>
                <w:sz w:val="19"/>
                <w:szCs w:val="19"/>
                <w:color w:val="auto"/>
              </w:rPr>
            </w:pPr>
          </w:p>
        </w:tc>
        <w:tc>
          <w:tcPr>
            <w:tcW w:w="14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6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income taxes </w:t>
            </w:r>
            <w:r>
              <w:rPr>
                <w:rFonts w:ascii="Times New Roman" w:cs="Times New Roman" w:eastAsia="Times New Roman" w:hAnsi="Times New Roman"/>
                <w:sz w:val="23"/>
                <w:szCs w:val="23"/>
                <w:color w:val="auto"/>
                <w:vertAlign w:val="superscript"/>
              </w:rPr>
              <w:t>(1)</w:t>
            </w:r>
          </w:p>
        </w:tc>
        <w:tc>
          <w:tcPr>
            <w:tcW w:w="2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(173.0)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360" w:type="dxa"/>
            <w:vAlign w:val="bottom"/>
          </w:tcPr>
          <w:p>
            <w:pPr>
              <w:spacing w:after="0"/>
              <w:rPr>
                <w:sz w:val="19"/>
                <w:szCs w:val="19"/>
                <w:color w:val="auto"/>
              </w:rPr>
            </w:pPr>
          </w:p>
        </w:tc>
        <w:tc>
          <w:tcPr>
            <w:tcW w:w="142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218.7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non-deductible goodwill</w:t>
            </w:r>
          </w:p>
        </w:tc>
        <w:tc>
          <w:tcPr>
            <w:tcW w:w="2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 adjustments</w:t>
            </w:r>
          </w:p>
        </w:tc>
        <w:tc>
          <w:tcPr>
            <w:tcW w:w="2360" w:type="dxa"/>
            <w:vAlign w:val="bottom"/>
          </w:tcPr>
          <w:p>
            <w:pPr>
              <w:spacing w:after="0"/>
              <w:rPr>
                <w:sz w:val="19"/>
                <w:szCs w:val="19"/>
                <w:color w:val="auto"/>
              </w:rPr>
            </w:pPr>
          </w:p>
        </w:tc>
        <w:tc>
          <w:tcPr>
            <w:tcW w:w="14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(5.9)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2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business credits and incentives</w:t>
            </w:r>
          </w:p>
        </w:tc>
        <w:tc>
          <w:tcPr>
            <w:tcW w:w="2360" w:type="dxa"/>
            <w:vAlign w:val="bottom"/>
          </w:tcPr>
          <w:p>
            <w:pPr>
              <w:spacing w:after="0"/>
              <w:rPr>
                <w:sz w:val="19"/>
                <w:szCs w:val="19"/>
                <w:color w:val="auto"/>
              </w:rPr>
            </w:pPr>
          </w:p>
        </w:tc>
        <w:tc>
          <w:tcPr>
            <w:tcW w:w="14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(16.6)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2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1.8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period adjustments</w:t>
            </w:r>
          </w:p>
        </w:tc>
        <w:tc>
          <w:tcPr>
            <w:tcW w:w="2360" w:type="dxa"/>
            <w:vAlign w:val="bottom"/>
          </w:tcPr>
          <w:p>
            <w:pPr>
              <w:spacing w:after="0"/>
              <w:rPr>
                <w:sz w:val="19"/>
                <w:szCs w:val="19"/>
                <w:color w:val="auto"/>
              </w:rPr>
            </w:pPr>
          </w:p>
        </w:tc>
        <w:tc>
          <w:tcPr>
            <w:tcW w:w="142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impact of restructuring</w:t>
            </w:r>
          </w:p>
        </w:tc>
        <w:tc>
          <w:tcPr>
            <w:tcW w:w="2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(50.8)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contingencies and audit settlements, net</w:t>
            </w:r>
          </w:p>
        </w:tc>
        <w:tc>
          <w:tcPr>
            <w:tcW w:w="2360" w:type="dxa"/>
            <w:vAlign w:val="bottom"/>
          </w:tcPr>
          <w:p>
            <w:pPr>
              <w:spacing w:after="0"/>
              <w:rPr>
                <w:sz w:val="19"/>
                <w:szCs w:val="19"/>
                <w:color w:val="auto"/>
              </w:rPr>
            </w:pPr>
          </w:p>
        </w:tc>
        <w:tc>
          <w:tcPr>
            <w:tcW w:w="142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13.2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tax law changes on deferred taxes</w:t>
            </w:r>
          </w:p>
        </w:tc>
        <w:tc>
          <w:tcPr>
            <w:tcW w:w="2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6.3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disregarded entities</w:t>
            </w:r>
          </w:p>
        </w:tc>
        <w:tc>
          <w:tcPr>
            <w:tcW w:w="2360" w:type="dxa"/>
            <w:vAlign w:val="bottom"/>
          </w:tcPr>
          <w:p>
            <w:pPr>
              <w:spacing w:after="0"/>
              <w:rPr>
                <w:sz w:val="19"/>
                <w:szCs w:val="19"/>
                <w:color w:val="auto"/>
              </w:rPr>
            </w:pPr>
          </w:p>
        </w:tc>
        <w:tc>
          <w:tcPr>
            <w:tcW w:w="14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(28.5)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15.2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128.2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r>
    </w:tbl>
    <w:p>
      <w:pPr>
        <w:spacing w:after="0" w:line="61"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Foreign income taxes include statutory rate differences, financing arrangements, withholding taxes, local income taxes, notional deductions, and other miscellaneous items.</w:t>
      </w:r>
    </w:p>
    <w:p>
      <w:pPr>
        <w:spacing w:after="0" w:line="14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Following is a supplemental disclosures of cash flow information related to income taxes paid for the years ended December 31, 2024, and 2023 prior to adopting disclosure requirements under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0" w:type="dxa"/>
            <w:vAlign w:val="bottom"/>
          </w:tcPr>
          <w:p>
            <w:pPr>
              <w:spacing w:after="0"/>
              <w:rPr>
                <w:sz w:val="16"/>
                <w:szCs w:val="16"/>
                <w:color w:val="auto"/>
              </w:rPr>
            </w:pPr>
          </w:p>
        </w:tc>
        <w:tc>
          <w:tcPr>
            <w:tcW w:w="1400" w:type="dxa"/>
            <w:vAlign w:val="bottom"/>
          </w:tcPr>
          <w:p>
            <w:pPr>
              <w:jc w:val="right"/>
              <w:ind w:right="799"/>
              <w:spacing w:after="0"/>
              <w:rPr>
                <w:sz w:val="20"/>
                <w:szCs w:val="20"/>
                <w:color w:val="auto"/>
              </w:rPr>
            </w:pPr>
            <w:r>
              <w:rPr>
                <w:rFonts w:ascii="Times New Roman" w:cs="Times New Roman" w:eastAsia="Times New Roman" w:hAnsi="Times New Roman"/>
                <w:sz w:val="14"/>
                <w:szCs w:val="14"/>
                <w:color w:val="auto"/>
              </w:rPr>
              <w:t>2024</w:t>
            </w: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6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during the years for:</w:t>
            </w:r>
          </w:p>
        </w:tc>
        <w:tc>
          <w:tcPr>
            <w:tcW w:w="20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95"/>
        </w:trPr>
        <w:tc>
          <w:tcPr>
            <w:tcW w:w="66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36"/>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137.5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r>
      <w:tr>
        <w:trPr>
          <w:trHeight w:val="260"/>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*Amounts presented do not include payments for credits purchased from third parties</w:t>
            </w:r>
          </w:p>
        </w:tc>
        <w:tc>
          <w:tcPr>
            <w:tcW w:w="20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are presented below:</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520" w:type="dxa"/>
            <w:vAlign w:val="bottom"/>
          </w:tcPr>
          <w:p>
            <w:pPr>
              <w:spacing w:after="0"/>
              <w:rPr>
                <w:sz w:val="16"/>
                <w:szCs w:val="16"/>
                <w:color w:val="auto"/>
              </w:rPr>
            </w:pPr>
          </w:p>
        </w:tc>
        <w:tc>
          <w:tcPr>
            <w:tcW w:w="13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6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5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18.0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61.3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2520" w:type="dxa"/>
            <w:vAlign w:val="bottom"/>
          </w:tcPr>
          <w:p>
            <w:pPr>
              <w:spacing w:after="0"/>
              <w:rPr>
                <w:sz w:val="19"/>
                <w:szCs w:val="19"/>
                <w:color w:val="auto"/>
              </w:rPr>
            </w:pPr>
          </w:p>
        </w:tc>
        <w:tc>
          <w:tcPr>
            <w:tcW w:w="138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57.3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135.0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Deductible state tax and interest benefit</w:t>
            </w:r>
          </w:p>
        </w:tc>
        <w:tc>
          <w:tcPr>
            <w:tcW w:w="2520" w:type="dxa"/>
            <w:vAlign w:val="bottom"/>
          </w:tcPr>
          <w:p>
            <w:pPr>
              <w:spacing w:after="0"/>
              <w:rPr>
                <w:sz w:val="19"/>
                <w:szCs w:val="19"/>
                <w:color w:val="auto"/>
              </w:rPr>
            </w:pPr>
          </w:p>
        </w:tc>
        <w:tc>
          <w:tcPr>
            <w:tcW w:w="138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18.7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2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48.7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520" w:type="dxa"/>
            <w:vAlign w:val="bottom"/>
          </w:tcPr>
          <w:p>
            <w:pPr>
              <w:spacing w:after="0"/>
              <w:rPr>
                <w:sz w:val="19"/>
                <w:szCs w:val="19"/>
                <w:color w:val="auto"/>
              </w:rPr>
            </w:pPr>
          </w:p>
        </w:tc>
        <w:tc>
          <w:tcPr>
            <w:tcW w:w="138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111.8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Federal, foreign and state net operating losses and credits</w:t>
            </w:r>
          </w:p>
        </w:tc>
        <w:tc>
          <w:tcPr>
            <w:tcW w:w="2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1,154.4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940.3</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1,734.5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r>
      <w:tr>
        <w:trPr>
          <w:trHeight w:val="229"/>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(939.6)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w:t>
            </w:r>
          </w:p>
        </w:tc>
      </w:tr>
      <w:tr>
        <w:trPr>
          <w:trHeight w:val="223"/>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5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794.9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(25.2)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and equipment</w:t>
            </w:r>
          </w:p>
        </w:tc>
        <w:tc>
          <w:tcPr>
            <w:tcW w:w="2520" w:type="dxa"/>
            <w:vAlign w:val="bottom"/>
          </w:tcPr>
          <w:p>
            <w:pPr>
              <w:spacing w:after="0"/>
              <w:rPr>
                <w:sz w:val="19"/>
                <w:szCs w:val="19"/>
                <w:color w:val="auto"/>
              </w:rPr>
            </w:pPr>
          </w:p>
        </w:tc>
        <w:tc>
          <w:tcPr>
            <w:tcW w:w="138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(392.6)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2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(109.5)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520" w:type="dxa"/>
            <w:vAlign w:val="bottom"/>
          </w:tcPr>
          <w:p>
            <w:pPr>
              <w:spacing w:after="0"/>
              <w:rPr>
                <w:sz w:val="19"/>
                <w:szCs w:val="19"/>
                <w:color w:val="auto"/>
              </w:rPr>
            </w:pPr>
          </w:p>
        </w:tc>
        <w:tc>
          <w:tcPr>
            <w:tcW w:w="138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(105.3)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Prepaids</w:t>
            </w:r>
          </w:p>
        </w:tc>
        <w:tc>
          <w:tcPr>
            <w:tcW w:w="2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(57.6)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(55.1)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3"/>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5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(745.3)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w:t>
            </w:r>
          </w:p>
        </w:tc>
      </w:tr>
      <w:tr>
        <w:trPr>
          <w:trHeight w:val="230"/>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2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49.6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r>
    </w:tbl>
    <w:p>
      <w:pPr>
        <w:spacing w:after="0" w:line="3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evaluates its ability to realize the tax benefits associated with deferred tax assets by analyzing its forecasted taxable income using both historic and projected future operating results, the reversal of existing temporary differences, taxable income in prior carry-back years (if permitted) and the availability of tax planning strategies. The valuation allowance as of December 31, 2025, and 2024 is $939.6 million and $760.5 million, respectively. The valuation allowance as of December 31, 2025, relates to the net deferred tax assets of certain of the Company’s foreign subsidiaries as well as certain state net operating losses and tax credits. The total change in the 2025 valuation allowance was an increase of $179.1 million related to increased losses and other carryforward attributes, foreign currency translation and other activities. The total change in the 2024 valuation allowance was an increase of $177.8 million primarily related to increased losses, foreign currency translation and other activities.</w:t>
      </w:r>
    </w:p>
    <w:p>
      <w:pPr>
        <w:spacing w:after="0" w:line="13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Management believes it is more likely than not that the Company will realize the benefits of its deferred tax assets, net of valuation allowances, based upon the expected reversal of deferred tax liabilities and the level of historic and forecasted taxable income over periods in which the deferred tax assets are deductible.</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has state net operating loss carry forwards and state tax credits with potential tax benefits of $45.8 million, net of federal income tax benefit. A valuation allowance totaling $24.4 million has been recorded against these state deferred tax assets as of December 31, 2025. In addition, as of December 31, 2025, the Company has credits and net operating loss carry forwards in the U.S. with potential tax benefits of $11.5 million and in various foreign jurisdictions with potential tax benefits of $2,330.9 million. A valuation allowance of $9.7 million and $905.5 million, respectively, has been recorded against these deferred tax assets as of December 31, 2025. A portion of the carryforwards expire over various periods beginning in 2026 and the remaining carryforwards have an indefinite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asserts that historical earnings are indefinitely reinvested for most of its foreign subsidiaries as of December 31, 2025. Should the remaining earnings be distributed in the form of dividends in the future, the Company might be subject to withholding taxes (possibly offset by United States foreign tax credits) in various foreign jurisdictions, but the Company would not expect material incremental United States federal or state taxes to be accrued on these previously taxed earnings. The Company changed its indefinite reinvestment assertion for some of its foreign subsidiaries as of December 31, 2025, and as a result recorded an immaterial deferred tax liability for the expected income taxes. The Company has not determined the potential deferred tax liability on its indefinitely reinvested foreign earnings, as such a determination is not practicable.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Uncertainties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Company’s tax returns are subject to examination by various taxing authorities. Such examinations may result in future tax and interest assessments by these taxing jurisdictions. Accordingly, the Company accrues liabilities when it believes that it is not more likely than not that it will realize the benefits of tax positions that it has taken in its tax returns or for the amount of any tax benefit that exceeds the cumulative probability threshold in accordance with ASC 740-10. Changes in recognition or measurement are reflected in the period in which the change in judgment occurs. The Company records interest and penalties related to unrecognized tax benefits in income tax expense (benefit). Differences between the estimated and actual amounts determined upon ultimate resolution, individually or in the aggregate, are not expected to have a material adverse effect on the Company’s consolidated financial position but could possibly be material to the Company’s consolidated results of operations or cash flow in any given quarter or annual period.</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Company’s gross amount of unrecognized tax benefits is $1,343.9 million, excluding interest and penalties. If the Company were to prevail on all uncertain tax positions, $88.8 million of the unrecognized tax benefits would affect the Company’s effective tax rate, exclusive of any benefits related to interest and penalties.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80" w:type="dxa"/>
            <w:vAlign w:val="bottom"/>
          </w:tcPr>
          <w:p>
            <w:pPr>
              <w:spacing w:after="0"/>
              <w:rPr>
                <w:sz w:val="16"/>
                <w:szCs w:val="16"/>
                <w:color w:val="auto"/>
              </w:rPr>
            </w:pP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64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2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1,195.7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280" w:type="dxa"/>
            <w:vAlign w:val="bottom"/>
          </w:tcPr>
          <w:p>
            <w:pPr>
              <w:spacing w:after="0"/>
              <w:rPr>
                <w:sz w:val="19"/>
                <w:szCs w:val="19"/>
                <w:color w:val="auto"/>
              </w:rPr>
            </w:pPr>
          </w:p>
        </w:tc>
        <w:tc>
          <w:tcPr>
            <w:tcW w:w="14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acquired companies</w:t>
            </w:r>
          </w:p>
        </w:tc>
        <w:tc>
          <w:tcPr>
            <w:tcW w:w="2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280" w:type="dxa"/>
            <w:vAlign w:val="bottom"/>
          </w:tcPr>
          <w:p>
            <w:pPr>
              <w:spacing w:after="0"/>
              <w:rPr>
                <w:sz w:val="19"/>
                <w:szCs w:val="19"/>
                <w:color w:val="auto"/>
              </w:rPr>
            </w:pPr>
          </w:p>
        </w:tc>
        <w:tc>
          <w:tcPr>
            <w:tcW w:w="14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17.0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resulting from change in tax rate</w:t>
            </w:r>
          </w:p>
        </w:tc>
        <w:tc>
          <w:tcPr>
            <w:tcW w:w="2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resulting from the lapse of the statute of limitations</w:t>
            </w:r>
          </w:p>
        </w:tc>
        <w:tc>
          <w:tcPr>
            <w:tcW w:w="2280" w:type="dxa"/>
            <w:vAlign w:val="bottom"/>
          </w:tcPr>
          <w:p>
            <w:pPr>
              <w:spacing w:after="0"/>
              <w:rPr>
                <w:sz w:val="19"/>
                <w:szCs w:val="19"/>
                <w:color w:val="auto"/>
              </w:rPr>
            </w:pPr>
          </w:p>
        </w:tc>
        <w:tc>
          <w:tcPr>
            <w:tcW w:w="14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(0.8)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2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(13.6)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Effects of foreign currency translation</w:t>
            </w:r>
          </w:p>
        </w:tc>
        <w:tc>
          <w:tcPr>
            <w:tcW w:w="2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143.1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6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2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1,343.9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redemption of hybrid instruments in response to changes in global tax regimes, the Company has an ASC 740-10 liability for the full tax effected loss on hybrid instruments. This ASC 740-10-45 liability is recorded as a reduction to the related deferred tax asset in the financial statements as a result of management’s determination that it is not more likely than not that the benefit will be realized. The tax effected loss was adjusted for foreign currency translation resulting in an updated balance of $1,233.7 million as of December 31, 2025.</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has $43.3 million and $31.3 million, respectively, accrued for the payment of interest and penalties, excluding the federal tax benefit of interest deductions where applicable. During the years ended December 31, 2025, 2024 and 2023, the Company accrued interest and penalties through income tax expense of $9.3 million, $5.1 million and $6.5 million, respectively.</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Internal Revenue Service audit of the Company’s 2018, 2019 and 2020 federal tax returns was completed during the year ended December 31, 2025, and the tax years are now in Internal Revenue Service Appeals. As permitted by the CARES Act, the company carried back its 2020 taxable losses to tax years before the corporate income tax rate was lowered by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Cut and Jobs Act. Federal income tax matters related to years prior to 2014 have been effectively settled. Various other state and foreign income tax returns are open to examination for various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Belgian Tax Matter</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in a dispute with the Belgian Tax Authority (the “BTA”) in relation to certain intercompany loans to or from IVC BV, Unilin BV, and Unilin Holding BV, each of which is one of the Company’s subsidiaries in Belgium. The BTA has asserted that these loans were not genuine loans for Belgian tax purposes. The BTA issued assessments for the years ended December 31, 2017, 2018, 2019, 2020, and 2021 totaling approximately EUR 1.2 billion (including penalties but excluding late payment interests) combined on the three entities, whereby it rejected certain interest deductions and the deduction for dividends received from one of its subsidiaries and asserted the inclusion of income related to these loans. Some of these disputed assessments are still in the administrative phase and have been appealed administratively before the BTA while others are now proceeding in the Belgian courts. The Company believes that its tax position in Belgium was correct and intends to vigorously defend its position.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approximately $0.9 million and $0.7 million in standby letters of credit for various insurance contracts and commitments to foreign vendors as of December 31, 2025, and 2024, respectively that expire within two years.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in the regular course of its business, the Company is involved in various lawsuits, claims, investigations and other legal matters. Except as noted below, there are no material legal proceedings pending or known by the Company to be contemplated to which the Company is a party or to which any of its property is subject.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Perfluoroalkyl and Polyfluoroalkyl Substances (“PFAS”) Litigation</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been named as a defendant in a number of lawsuits in Georgia, Alabama, and South Carolina relating to carpet products that allegedly contained perfluoroalkyl and polyfluoroalkyl substances (“PFAS”). These lawsuits have been brought against chemical manufacturers and carpet manufacturers and have been brought by four categories of plaintiffs: (i) municipalities and counties alleging contamination of their drinking water sources with PFAS, (ii) counties alleging contamination of their landfills with PFAS, (iii) private landowners alleging contamination of their real property with PFAS, and (iv) rate payers alleging that their drinking water rates have increased due to the costs associated with remediation of PFAS.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municipalities and counties assert common-law and statutory claims seeking to recover the costs of installing water filtration systems to filter out the PFAS that is allegedly in the drinking water sources. The counties that claim contamination of their landfills assert common-law and statutory claims seeking to recover the costs of remediating the PFAS that is allegedly in the landfills. The private landowners allege that biosolids sludge applied on or near their real property contained PFAS or allege that PFAS from nearby manufacturing facilities ended up on their real property. Those landowners assert common-law and statutory claims seeking to recover the costs of remediating the PFAS that is allegedly on their real property. Finally, the rate payers that claim their drinking water rates have increased due to PFAS include a proposed class of water subscribers with the Rome Water and Sewer Division and/or the Floyd County Water Department in Georgia. The rate payers assert common-law and statutory claims and seek to recover past and future damages due to the rate increases.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believes that it has significant defenses against the allegations in these lawsuits and will continue to vigorously defend against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Silica Litigation</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certain claims related to exposure to silica dust that have been submitted against it or its subsidiaries. A majority of these outstanding claims have been filed against the Company by a single plaintiff group in California, bringing the total number of cases now outstanding to approximately 400. The Company believes it has substantial defenses against the allegations and will continue to vigorously defend against these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Actions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and certain of its present and former executive officers were named as defendants in certain investor actions, filed in the State Court of Fulton County of the State of Georgia on April 22, 2021, and April 23, 2021. The claims alleged include fraud, negligent misrepresentation, violations of the Georgia Securities Act, and violations of the Georgia Racketeering and Corrupt Organizations statute. The parties reached settlement agreements and filed stipulations of voluntary dismissal with prejudice, and the Court granted dismissal and terminated the investor actions on December 15, 2025. The Company continues to believe the allegations in the investor actions were without merit.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believes that adequate provisions for resolution of all contingencies, claims and pending litigation have been made for probable losses that are reasonably estimable. These contingencies are subject to significant uncertainties and the Company is unable to estimate the amount or range of loss, if any, in excess of amounts accrued. The Company does not believe that the ultimate outcome of these actions will be significantly above amounts accrued, or that the ultimate outcome of these actions will have a material adverse effect on its financial condition; however, litigation is inherently uncertain and actual losses could result in unfavorable outcomes that could have a material adverse effect on its results of operations, cash flows or liquidity in a given quarter or year.</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federal, state, local and foreign environmental health and safety laws and regulations, including those governing air emissions, wastewater discharges, the use, storage, treatment, recycling and disposal of solid and hazardous materials and finished product, and the cleanup of contamination associated therewith. Because of the nature of the Company’s business, the Company has incurred, and will continue to incur, costs relating to compliance with such laws and regulations. The Company is involved in various proceedings relating to environmental matters and is currently engaged in environmental investigation, remediation and post-closure care programs at certain sites. The Company has provided accruals for such activities that it has determined to be both probable and reasonably estimable. The Company does not expect that the ultimate liability with respect to such activities will have a material adverse effect on its financial condition; however, litigation is inherently uncertain and actual losses could result in unfavorable outcomes that could have a material adverse effect on its results of operations, cash flows or liquidity in a given quarter or year.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Consolidated Statements of Cash Flows Information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disclosures of cash flow information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Pr>
          <w:p>
            <w:pPr>
              <w:spacing w:after="0"/>
              <w:rPr>
                <w:sz w:val="16"/>
                <w:szCs w:val="16"/>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 during the years for:</w:t>
            </w:r>
          </w:p>
        </w:tc>
        <w:tc>
          <w:tcPr>
            <w:tcW w:w="10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32.9</w:t>
            </w:r>
          </w:p>
        </w:tc>
        <w:tc>
          <w:tcPr>
            <w:tcW w:w="14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color w:val="auto"/>
              </w:rPr>
              <w:t>68.5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50"/>
        </w:trPr>
        <w:tc>
          <w:tcPr>
            <w:tcW w:w="6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property plant and equipment in accounts payable and accrued expenses</w:t>
            </w:r>
          </w:p>
        </w:tc>
        <w:tc>
          <w:tcPr>
            <w:tcW w:w="10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68.5</w:t>
            </w:r>
          </w:p>
        </w:tc>
        <w:tc>
          <w:tcPr>
            <w:tcW w:w="140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73.0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50"/>
        </w:trPr>
        <w:tc>
          <w:tcPr>
            <w:tcW w:w="6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net of liabilities assumed:</w:t>
            </w:r>
          </w:p>
        </w:tc>
        <w:tc>
          <w:tcPr>
            <w:tcW w:w="10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net assets acquired in acquisition</w:t>
            </w: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9.3</w:t>
            </w:r>
          </w:p>
        </w:tc>
        <w:tc>
          <w:tcPr>
            <w:tcW w:w="140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w:t>
            </w:r>
          </w:p>
        </w:tc>
      </w:tr>
      <w:tr>
        <w:trPr>
          <w:trHeight w:val="230"/>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 in acquisition</w:t>
            </w:r>
          </w:p>
        </w:tc>
        <w:tc>
          <w:tcPr>
            <w:tcW w:w="10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(2.4)</w:t>
            </w:r>
          </w:p>
        </w:tc>
        <w:tc>
          <w:tcPr>
            <w:tcW w:w="140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30"/>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6.9</w:t>
            </w:r>
          </w:p>
        </w:tc>
        <w:tc>
          <w:tcPr>
            <w:tcW w:w="14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supplemental disclosures of cash flow information for leases as well as income taxes are disclosed in Note 11,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xml:space="preserve"> and Note 14,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xml:space="preserv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three reporting segments: Global Ceramic, Flooring NA and Flooring ROW. Global Ceramic designs, manufactures, sources and markets a broad line of ceramic tile, porcelain tile, natural stone, porcelain slabs, quartz countertops and other products, which it distributes primarily in North America, Europe and Latin America through its network of regional distribution centers and Company-operated service centers using Company-operated trucks, common carriers or rail transportation. The segment’s product lines are sold through Company-operated service centers, independent distributors, home center retailers, tile and flooring retailers and contractors. Flooring NA designs, manufactures, sources and markets its floor covering product lines, including carpets, rugs, carpet pad, laminate, resilient (includes sheet vinyl and LVT) and wood flooring, which it distributes through its network of regional distribution centers and satellite warehouses using Company-operated trucks, common carriers or rail transportation. The segment’s product lines are sold through various selling channels, including independent floor covering retailers, distributors, home centers, mass merchandisers, department stores, shop at home, buying groups, commercial contractors and commercial end users. Flooring ROW designs, manufactures, sources, licenses and markets laminate, sheet vinyl, LVT, wood flooring, roofing elements, insulation boards, medium-density fiberboard (“MDF”), chipboards and other wood products, which it distributes primarily in Europe and Australasia through various selling channels, which include retailers, Company-operated distributors, independent distributors and home centers.</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for each operating segment are consistent with the Company’s policies for the Consolidated Financial Statements. Amounts disclosed for each segment are prior to any elimination or consolidation entries. Corporate general and administrative expenses attributable to each segment are estimated and allocated accordingly. Segment performance is evaluated based on operating income. No single customer accounted for more than 10% of net sales for the years ended December 31, 2025, 2024 or 2023.</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segment disclosures for public entities, including requiring disclosure of significant segment expenses that are regularly provided to the chief operating decision maker (“CODM”), the title and position of the CODM and an explanation of how the CODM uses reported measures of segment profit or loss in assessing segment performance and allocating resources. The new guidance also expands disclosures about a reportable segment’s profit or loss and assets in interim periods and clarifies that a public entity may report additional measures of segment profit if the CODM uses more than one measure of a segment’s profit or loss. The new guidance does not remove existing segment disclosure requirements or change how a public entity identifies its operating segments, aggregates those operating segments, or determines its reportable segments. Effective January 1, 2024, the Company adopted the new disclosure guidance.</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Chief Executive Officer (“CEO”), Chief Operating Officer (“COO”) and Chief Financial Officer (“CFO”) of the Company collaborate to gather information that the CEO uses to assess performance and make resource allocation decisions for the operating segments. The CEO frequently makes operational and resource allocation decisions and is also responsible for strategic decisions. Since the CEO makes crucial operating and resource allocation decisions with support from the other senior executives, the CEO is the CODM for purposes of Topic 280.</w:t>
      </w:r>
    </w:p>
    <w:p>
      <w:pPr>
        <w:spacing w:after="0" w:line="19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CODM considers Operating income (loss) as compared to prior year performance and forecast for each reporting segment to evaluate performance and allocate resources to the segments.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Global Ceramic, Flooring NA and Flooring ROW segments, the CODM uses segment Operating income (loss) to allocate resources (including employees and financial or capital resources) for each segment predominantly in the annual budget and forecasting process. The CODM considers forecast-to-actual variances in Operating income (loss) on a monthly basis when making decisions about allocating resources to the segments.</w:t>
      </w:r>
    </w:p>
    <w:p>
      <w:pPr>
        <w:spacing w:after="0" w:line="204"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Other segment items included in the computation of segment Operating income (loss) include impairment of goodwill and indefinite-lived intangibles.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internally provides the following discrete segment financial information to its CODM: total assets; geographic net sales; long-lived assets; net sales by product categories; net sales; cost of goods sold; selling, general, and administrative expenses; operating income; depreciation expenses and capital expenditures. This key segment information, including both significant segment expenses and assets, is used by the CODM to evaluate performance and allocate resources to the segments.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segment expenses and assets information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360" w:type="dxa"/>
            <w:vAlign w:val="bottom"/>
          </w:tcPr>
          <w:p>
            <w:pPr>
              <w:spacing w:after="0"/>
              <w:rPr>
                <w:sz w:val="16"/>
                <w:szCs w:val="16"/>
                <w:color w:val="auto"/>
              </w:rPr>
            </w:pPr>
          </w:p>
        </w:tc>
        <w:tc>
          <w:tcPr>
            <w:tcW w:w="13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49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2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5,155.0</w:t>
            </w:r>
          </w:p>
        </w:tc>
        <w:tc>
          <w:tcPr>
            <w:tcW w:w="14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4,591.0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4,988.3</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2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3,832.6</w:t>
            </w:r>
          </w:p>
        </w:tc>
        <w:tc>
          <w:tcPr>
            <w:tcW w:w="14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3,883.4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3,870.8</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2360" w:type="dxa"/>
            <w:vAlign w:val="bottom"/>
          </w:tcPr>
          <w:p>
            <w:pPr>
              <w:spacing w:after="0"/>
              <w:rPr>
                <w:sz w:val="19"/>
                <w:szCs w:val="19"/>
                <w:color w:val="auto"/>
              </w:rPr>
            </w:pPr>
          </w:p>
        </w:tc>
        <w:tc>
          <w:tcPr>
            <w:tcW w:w="13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3,989.2</w:t>
            </w:r>
          </w:p>
        </w:tc>
        <w:tc>
          <w:tcPr>
            <w:tcW w:w="14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3,594.7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4,051.6</w:t>
            </w:r>
          </w:p>
        </w:tc>
      </w:tr>
      <w:tr>
        <w:trPr>
          <w:trHeight w:val="229"/>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intersegment eliminations</w:t>
            </w:r>
          </w:p>
        </w:tc>
        <w:tc>
          <w:tcPr>
            <w:tcW w:w="2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710.5</w:t>
            </w:r>
          </w:p>
        </w:tc>
        <w:tc>
          <w:tcPr>
            <w:tcW w:w="146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667.4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r>
      <w:tr>
        <w:trPr>
          <w:trHeight w:val="23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13,687.3</w:t>
            </w:r>
          </w:p>
        </w:tc>
        <w:tc>
          <w:tcPr>
            <w:tcW w:w="14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12,736.5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13,520.7</w:t>
            </w:r>
          </w:p>
        </w:tc>
      </w:tr>
      <w:tr>
        <w:trPr>
          <w:trHeight w:val="243"/>
        </w:trPr>
        <w:tc>
          <w:tcPr>
            <w:tcW w:w="496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net sales:</w:t>
            </w: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5,813.9</w:t>
            </w:r>
          </w:p>
        </w:tc>
        <w:tc>
          <w:tcPr>
            <w:tcW w:w="14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5,939.5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6,040.0</w:t>
            </w:r>
          </w:p>
        </w:tc>
      </w:tr>
      <w:tr>
        <w:trPr>
          <w:trHeight w:val="230"/>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2360" w:type="dxa"/>
            <w:vAlign w:val="bottom"/>
          </w:tcPr>
          <w:p>
            <w:pPr>
              <w:spacing w:after="0"/>
              <w:rPr>
                <w:sz w:val="19"/>
                <w:szCs w:val="19"/>
                <w:color w:val="auto"/>
              </w:rPr>
            </w:pPr>
          </w:p>
        </w:tc>
        <w:tc>
          <w:tcPr>
            <w:tcW w:w="13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3,366.6</w:t>
            </w:r>
          </w:p>
        </w:tc>
        <w:tc>
          <w:tcPr>
            <w:tcW w:w="14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3,194.3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3,381.0</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728.0</w:t>
            </w:r>
          </w:p>
        </w:tc>
        <w:tc>
          <w:tcPr>
            <w:tcW w:w="14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750.5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w:t>
            </w:r>
          </w:p>
        </w:tc>
      </w:tr>
      <w:tr>
        <w:trPr>
          <w:trHeight w:val="22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876.9</w:t>
            </w:r>
          </w:p>
        </w:tc>
        <w:tc>
          <w:tcPr>
            <w:tcW w:w="14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952.6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w:t>
            </w: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10,785.4</w:t>
            </w:r>
          </w:p>
        </w:tc>
        <w:tc>
          <w:tcPr>
            <w:tcW w:w="146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10,836.9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11,135.1</w:t>
            </w:r>
          </w:p>
        </w:tc>
      </w:tr>
      <w:tr>
        <w:trPr>
          <w:trHeight w:val="243"/>
        </w:trPr>
        <w:tc>
          <w:tcPr>
            <w:tcW w:w="49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23"/>
                <w:szCs w:val="23"/>
                <w:b w:val="1"/>
                <w:bCs w:val="1"/>
                <w:color w:val="auto"/>
                <w:vertAlign w:val="superscript"/>
              </w:rPr>
              <w:t>(2)</w:t>
            </w:r>
          </w:p>
        </w:tc>
        <w:tc>
          <w:tcPr>
            <w:tcW w:w="2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2,136.2</w:t>
            </w:r>
          </w:p>
        </w:tc>
        <w:tc>
          <w:tcPr>
            <w:tcW w:w="14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2,202.9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2,312.9</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937.1</w:t>
            </w:r>
          </w:p>
        </w:tc>
        <w:tc>
          <w:tcPr>
            <w:tcW w:w="14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865.1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w:t>
            </w:r>
          </w:p>
        </w:tc>
      </w:tr>
      <w:tr>
        <w:trPr>
          <w:trHeight w:val="23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2,107.4</w:t>
            </w:r>
          </w:p>
        </w:tc>
        <w:tc>
          <w:tcPr>
            <w:tcW w:w="14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1,885.9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2,128.0</w:t>
            </w: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5,180.7</w:t>
            </w:r>
          </w:p>
        </w:tc>
        <w:tc>
          <w:tcPr>
            <w:tcW w:w="146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4,953.9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5,421.7</w:t>
            </w:r>
          </w:p>
        </w:tc>
      </w:tr>
      <w:tr>
        <w:trPr>
          <w:trHeight w:val="243"/>
        </w:trPr>
        <w:tc>
          <w:tcPr>
            <w:tcW w:w="49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product categories:</w:t>
            </w:r>
          </w:p>
        </w:tc>
        <w:tc>
          <w:tcPr>
            <w:tcW w:w="2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Ceramic &amp; Stone</w:t>
            </w:r>
          </w:p>
        </w:tc>
        <w:tc>
          <w:tcPr>
            <w:tcW w:w="2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4,220.1</w:t>
            </w:r>
          </w:p>
        </w:tc>
        <w:tc>
          <w:tcPr>
            <w:tcW w:w="14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4,185.3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4,293.1</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Carpet &amp; Resilient</w:t>
            </w:r>
          </w:p>
        </w:tc>
        <w:tc>
          <w:tcPr>
            <w:tcW w:w="2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3,734.8</w:t>
            </w:r>
          </w:p>
        </w:tc>
        <w:tc>
          <w:tcPr>
            <w:tcW w:w="14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3,866.5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3,955.3</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Laminate &amp; Wood</w:t>
            </w:r>
          </w:p>
        </w:tc>
        <w:tc>
          <w:tcPr>
            <w:tcW w:w="2360" w:type="dxa"/>
            <w:vAlign w:val="bottom"/>
          </w:tcPr>
          <w:p>
            <w:pPr>
              <w:spacing w:after="0"/>
              <w:rPr>
                <w:sz w:val="19"/>
                <w:szCs w:val="19"/>
                <w:color w:val="auto"/>
              </w:rPr>
            </w:pPr>
          </w:p>
        </w:tc>
        <w:tc>
          <w:tcPr>
            <w:tcW w:w="13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1,752.3</w:t>
            </w:r>
          </w:p>
        </w:tc>
        <w:tc>
          <w:tcPr>
            <w:tcW w:w="14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1,728.9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1,732.6</w:t>
            </w:r>
          </w:p>
        </w:tc>
      </w:tr>
      <w:tr>
        <w:trPr>
          <w:trHeight w:val="230"/>
        </w:trPr>
        <w:tc>
          <w:tcPr>
            <w:tcW w:w="49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(3)</w:t>
            </w:r>
          </w:p>
        </w:tc>
        <w:tc>
          <w:tcPr>
            <w:tcW w:w="2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1,078.2</w:t>
            </w:r>
          </w:p>
        </w:tc>
        <w:tc>
          <w:tcPr>
            <w:tcW w:w="146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1,056.2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w:t>
            </w:r>
          </w:p>
        </w:tc>
      </w:tr>
      <w:tr>
        <w:trPr>
          <w:trHeight w:val="23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10,785.4</w:t>
            </w:r>
          </w:p>
        </w:tc>
        <w:tc>
          <w:tcPr>
            <w:tcW w:w="14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10,836.9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11,135.1</w:t>
            </w:r>
          </w:p>
        </w:tc>
      </w:tr>
      <w:tr>
        <w:trPr>
          <w:trHeight w:val="256"/>
        </w:trPr>
        <w:tc>
          <w:tcPr>
            <w:tcW w:w="496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2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4,289.4</w:t>
            </w:r>
          </w:p>
        </w:tc>
        <w:tc>
          <w:tcPr>
            <w:tcW w:w="14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4,226.6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4,300.1</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2360" w:type="dxa"/>
            <w:vAlign w:val="bottom"/>
          </w:tcPr>
          <w:p>
            <w:pPr>
              <w:spacing w:after="0"/>
              <w:rPr>
                <w:sz w:val="19"/>
                <w:szCs w:val="19"/>
                <w:color w:val="auto"/>
              </w:rPr>
            </w:pPr>
          </w:p>
        </w:tc>
        <w:tc>
          <w:tcPr>
            <w:tcW w:w="13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3,638.5</w:t>
            </w:r>
          </w:p>
        </w:tc>
        <w:tc>
          <w:tcPr>
            <w:tcW w:w="14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3,769.9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3,829.4</w:t>
            </w:r>
          </w:p>
        </w:tc>
      </w:tr>
      <w:tr>
        <w:trPr>
          <w:trHeight w:val="229"/>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2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2,857.5</w:t>
            </w:r>
          </w:p>
        </w:tc>
        <w:tc>
          <w:tcPr>
            <w:tcW w:w="146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2,840.4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3,005.6</w:t>
            </w:r>
          </w:p>
        </w:tc>
      </w:tr>
      <w:tr>
        <w:trPr>
          <w:trHeight w:val="23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10,785.4</w:t>
            </w:r>
          </w:p>
        </w:tc>
        <w:tc>
          <w:tcPr>
            <w:tcW w:w="14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10,836.9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11,135.1</w:t>
            </w:r>
          </w:p>
        </w:tc>
      </w:tr>
    </w:tbl>
    <w:p>
      <w:pPr>
        <w:spacing w:after="0" w:line="112" w:lineRule="exact"/>
        <w:rPr>
          <w:sz w:val="20"/>
          <w:szCs w:val="20"/>
          <w:color w:val="auto"/>
        </w:rPr>
      </w:pPr>
    </w:p>
    <w:p>
      <w:pPr>
        <w:ind w:left="140" w:hanging="132"/>
        <w:spacing w:after="0"/>
        <w:tabs>
          <w:tab w:leader="none" w:pos="14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Russia revenue included in Europe.</w:t>
      </w:r>
    </w:p>
    <w:p>
      <w:pPr>
        <w:spacing w:after="0" w:line="38"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Long-lived assets are composed of property, plant and equipment - net, and ROU operating lease assets.</w:t>
      </w:r>
    </w:p>
    <w:p>
      <w:pPr>
        <w:spacing w:after="0" w:line="55" w:lineRule="exact"/>
        <w:rPr>
          <w:rFonts w:ascii="Times New Roman" w:cs="Times New Roman" w:eastAsia="Times New Roman" w:hAnsi="Times New Roman"/>
          <w:sz w:val="19"/>
          <w:szCs w:val="19"/>
          <w:color w:val="auto"/>
          <w:vertAlign w:val="superscript"/>
        </w:rPr>
      </w:pPr>
    </w:p>
    <w:p>
      <w:pPr>
        <w:ind w:left="140" w:hanging="132"/>
        <w:spacing w:after="0" w:line="227" w:lineRule="auto"/>
        <w:tabs>
          <w:tab w:leader="none" w:pos="14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includes roofing elements, insulation boards, chipboards and IP contracts.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3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3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3,108.6</w:t>
            </w:r>
          </w:p>
        </w:tc>
        <w:tc>
          <w:tcPr>
            <w:tcW w:w="146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3,088.1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3,121.0</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3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2,884.3</w:t>
            </w:r>
          </w:p>
        </w:tc>
        <w:tc>
          <w:tcPr>
            <w:tcW w:w="14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2,879.1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3,007.7</w:t>
            </w:r>
          </w:p>
        </w:tc>
      </w:tr>
      <w:tr>
        <w:trPr>
          <w:trHeight w:val="23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3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2,218.2</w:t>
            </w:r>
          </w:p>
        </w:tc>
        <w:tc>
          <w:tcPr>
            <w:tcW w:w="14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rPr>
              <w:t>2,182.1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2,300.6</w:t>
            </w:r>
          </w:p>
        </w:tc>
      </w:tr>
      <w:tr>
        <w:trPr>
          <w:trHeight w:val="230"/>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8,211.1</w:t>
            </w:r>
          </w:p>
        </w:tc>
        <w:tc>
          <w:tcPr>
            <w:tcW w:w="146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8,149.3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8,429.3</w:t>
            </w: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914.1</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880.7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54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640.6</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653.5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r>
      <w:tr>
        <w:trPr>
          <w:trHeight w:val="229"/>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5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406.5</w:t>
            </w: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393.1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r>
      <w:tr>
        <w:trPr>
          <w:trHeight w:val="230"/>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1,961.2</w:t>
            </w:r>
          </w:p>
        </w:tc>
        <w:tc>
          <w:tcPr>
            <w:tcW w:w="1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1,927.3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1,986.1</w:t>
            </w:r>
          </w:p>
        </w:tc>
      </w:tr>
      <w:tr>
        <w:trPr>
          <w:trHeight w:val="257"/>
        </w:trPr>
        <w:tc>
          <w:tcPr>
            <w:tcW w:w="68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items:</w:t>
            </w: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54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29"/>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5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19.9</w:t>
            </w: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r>
      <w:tr>
        <w:trPr>
          <w:trHeight w:val="230"/>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19.9</w:t>
            </w:r>
          </w:p>
        </w:tc>
        <w:tc>
          <w:tcPr>
            <w:tcW w:w="1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8.2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877.7</w:t>
            </w:r>
          </w:p>
        </w:tc>
      </w:tr>
      <w:tr>
        <w:trPr>
          <w:trHeight w:val="257"/>
        </w:trPr>
        <w:tc>
          <w:tcPr>
            <w:tcW w:w="68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266.7</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249.5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54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113.6</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237.3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5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212.9</w:t>
            </w: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265.2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593.2</w:t>
            </w:r>
          </w:p>
        </w:tc>
        <w:tc>
          <w:tcPr>
            <w:tcW w:w="1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752.0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56"/>
        </w:trPr>
        <w:tc>
          <w:tcPr>
            <w:tcW w:w="68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6"/>
        </w:trPr>
        <w:tc>
          <w:tcPr>
            <w:tcW w:w="6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Reconciliation of segment operating income (loss) to consolidated earnings (loss) before</w:t>
            </w: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1"/>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amounts:</w:t>
            </w:r>
          </w:p>
        </w:tc>
        <w:tc>
          <w:tcPr>
            <w:tcW w:w="5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expense</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103.4</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58.5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3.3</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17.8</w:t>
            </w:r>
          </w:p>
        </w:tc>
        <w:tc>
          <w:tcPr>
            <w:tcW w:w="1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48.5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30"/>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468.7</w:t>
            </w: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643.0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r>
      <w:tr>
        <w:trPr>
          <w:trHeight w:val="257"/>
        </w:trPr>
        <w:tc>
          <w:tcPr>
            <w:tcW w:w="6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253.6</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219.4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218.6</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224.8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54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173.7</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186.2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30"/>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5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6.7</w:t>
            </w: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652.6</w:t>
            </w:r>
          </w:p>
        </w:tc>
        <w:tc>
          <w:tcPr>
            <w:tcW w:w="1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638.3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w:t>
            </w:r>
          </w:p>
        </w:tc>
      </w:tr>
      <w:tr>
        <w:trPr>
          <w:trHeight w:val="257"/>
        </w:trPr>
        <w:tc>
          <w:tcPr>
            <w:tcW w:w="68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 (excluding acquisitions):</w:t>
            </w: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170.8</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160.2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54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125.8</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165.1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120.3</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122.5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r>
      <w:tr>
        <w:trPr>
          <w:trHeight w:val="230"/>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23.1</w:t>
            </w:r>
          </w:p>
        </w:tc>
        <w:tc>
          <w:tcPr>
            <w:tcW w:w="1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440.0</w:t>
            </w: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454.4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Immaterial Correction of Prior Period Financial Statements</w:t>
      </w:r>
    </w:p>
    <w:p>
      <w:pPr>
        <w:spacing w:after="0" w:line="25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During the fourth quarter of 2025, the Company identified an immaterial error affecting the Company’s previously issued financial statements, with no impact to current year financial statements. The error related to intercompany activity impacting accounts receivable. The Company determined that the impacts of the error were not material, individually or in the aggregate, to its previously issued Consolidated Financial Statements and accompanying Notes to the Consolidated Financial Statements for any of the prior quarters or the annual period in which they occurred. However, in accordance with Staff Accounting Bulletin No. 108 of the Securities and Exchange Commission, the Company concluded that correcting the cumulative error in the current period would be material to its results of operations for the fiscal year ended December 31, 2025.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Company has revised its previously issued Consolidated Financial Statements, as applicable. The revision did not have an impact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Company's net revenue. The correction was achieved by reducing reported accounts receivable by $42.1 million over the prior periods affected. For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2023 and 2024 corrections, the Company has revised the 2023 and 2024 statement of operations by recording expenses of $9.5 million</w:t>
      </w:r>
    </w:p>
    <w:p>
      <w:pPr>
        <w:spacing w:after="0" w:line="234" w:lineRule="auto"/>
        <w:rPr>
          <w:sz w:val="20"/>
          <w:szCs w:val="20"/>
          <w:color w:val="auto"/>
        </w:rPr>
      </w:pPr>
      <w:r>
        <w:rPr>
          <w:rFonts w:ascii="Times New Roman" w:cs="Times New Roman" w:eastAsia="Times New Roman" w:hAnsi="Times New Roman"/>
          <w:sz w:val="18"/>
          <w:szCs w:val="18"/>
          <w:color w:val="auto"/>
        </w:rPr>
        <w:t>($4.1 million was recorded to cost of sales and $5.4 million to other (income) and expense, net) and recording expenses of $3.0 million ($1.2 million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to cost of sales and $1.8 million to other (income) and expense, net), respectively, and reducing the retained earnings balance for the year ended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by $29.6 million. The Company has revised the 2023 and 2024 net earnings attributable to the Company by reducing it by $9.5 million</w:t>
      </w:r>
    </w:p>
    <w:p>
      <w:pPr>
        <w:spacing w:after="0"/>
        <w:rPr>
          <w:sz w:val="20"/>
          <w:szCs w:val="20"/>
          <w:color w:val="auto"/>
        </w:rPr>
      </w:pPr>
      <w:r>
        <w:rPr>
          <w:rFonts w:ascii="Times New Roman" w:cs="Times New Roman" w:eastAsia="Times New Roman" w:hAnsi="Times New Roman"/>
          <w:sz w:val="18"/>
          <w:szCs w:val="18"/>
          <w:color w:val="auto"/>
        </w:rPr>
        <w:t>and $3.0 million, respectively. The revised impact on basic and diluted earnings per share for 2023 and 2024 was a reduction of $0.15 and $0.05,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The revisions ensure comparability across all periods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an evaluation of the effectiveness of the Company’s disclosure controls and procedures (as defined in Rules 13a-15(e) and 15d-15(e) under the Securities Exchange Act of 1934, as amended), which have been designed to provide reasonable assurance that such controls and procedures will meet their objectives, as of the end of the period covered by this report, the Company’s Chief Executive Officer and Chief Financial Officer have concluded that such controls and procedures were effective at a reasonable assurance level for the period covered by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 13a-15(f) under the Securities Exchange Act of 1934, as amended). The Company maintains internal control over financial reporting designed to provide reasonable assurance regarding the reliability of financial reporting and the preparation of financial statements for external purposes in accordance with generally accepted accounting principles.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Therefore, internal control over financial reporting determined to be effective provides only reasonable assurance regarding the reliability of financial reporting and the preparation of financial statements for external purposes in accordance with generally accepted accounting principles.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the Company’s Principal Executive Officer and Principal Financial Officer, the Company conducted an evaluation of the effectiveness of the design and operation of the Company’s internal control over financial reporting as of December 31, 2025. In conducting this evaluation, the Company used the framework set forth in the report titled “Internal Control - Integrated Framework (2013)” issued by the Committee of Sponsoring Organizations of the Treadway Commission. Based on the results of this evaluation, management has concluded that the Company’s internal control over financial reporting was effective as of December 31, 2025.</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KPMG LLP, an independent registered public accounting firm, as stated in their audit report which is included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year ended December 31, 2025, that have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recognizes that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2025, no director or officer of the Company notified the Company that they adopted or terminated a “Rule 10b5-1 trading arrangement” or “non-Rule 10b5-1 trading arrangement,” as each term is defined in Item 408(a) of the SEC’s Regulation S-K.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by reference to information contained in the Company’s Proxy Statement for the 2026 Annual Meeting of Stockholders. The Company has adopted the Mohawk Industries, Inc. Standards of Conduct and Ethics, which applies to all of its directors, officers and employees. The standards of conduct and ethics are publicly available on the Company’s website at </w:t>
      </w:r>
      <w:r>
        <w:rPr>
          <w:rFonts w:ascii="Times New Roman" w:cs="Times New Roman" w:eastAsia="Times New Roman" w:hAnsi="Times New Roman"/>
          <w:sz w:val="18"/>
          <w:szCs w:val="18"/>
          <w:i w:val="1"/>
          <w:iCs w:val="1"/>
          <w:color w:val="auto"/>
        </w:rPr>
        <w:t>http://www.mohawkind.com</w:t>
      </w:r>
      <w:r>
        <w:rPr>
          <w:rFonts w:ascii="Times New Roman" w:cs="Times New Roman" w:eastAsia="Times New Roman" w:hAnsi="Times New Roman"/>
          <w:sz w:val="18"/>
          <w:szCs w:val="18"/>
          <w:color w:val="auto"/>
        </w:rPr>
        <w:t xml:space="preserve"> and will be made available in print without charge to any stockholder who requests them. If the Company makes any substantive amendments to the standards of conduct and ethics, or grants any waiver, including any implicit waiver, from a provision of the standards required by regulations of the Commission to apply to the Company’s chief executive officer, chief financial officer or chief accounting officer, the Company will disclose the nature of the amendment or waiver on its website. The Company may elect to also disclose the amendment or waiver in a report on Form 8-K filed with the SEC. The Company has adopted the Mohawk Industries, Inc. Board of Directors Corporate Governance Guidelines, which are publicly available on the Company’s website and will be made available in print without charge to any stockholder who requests 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Policies and Procedures</w:t>
      </w:r>
    </w:p>
    <w:p>
      <w:pPr>
        <w:spacing w:after="0" w:line="24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has insider trading policies and procedures that govern the purchase, sale and other dispositions of its securities by directors, officers and employees, as well as by the Company itself. The Company believes these policies and procedures are reasonably designed to promote compliance with insider trading laws, rules and regulations and applicable listing standards. A copy of the Company’s Insider Trading Policy is incorporated by reference into this Annual Report on Form 10-K as Exhibit 19.</w:t>
      </w:r>
    </w:p>
    <w:p>
      <w:pPr>
        <w:spacing w:after="0" w:line="2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contained in the Company’s Proxy Statement for the 2026 Annual Meeting of Stockholders.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Item 5.02 Departure of Directors or Certain Officers; Election of Directors; Appointment of Certain Officers; Compensatory Arrangements of Certain Officers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19, 2026, the Company's Board of Directors appointed Nicholas P. Manthey as the Company's Chief Financial Officer effective April 1, 2026. Mr. Manthey, age 45, most recently served as the Company’s Vice President - Corporate Finance and Investor Relations from June 2025 until April 2026, and previously as Chief Financial Officer of the Company's Flooring North America reporting segment from July 2020 to June 2025. Prior to joining the Company, Mr. Manthey held several senior finance positions at Bridgestone Americas from 2015 to 2020, including most recently serving as Vice President of Finance. Earlier in his career, he served in various finance roles at Intel Corporation from 2004 to 2015.</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his appointment, Mr. Manthey will receive an annualized base salary of $650,000 and participate in the Company’s annual cash bonus and equity incentive plans. He will also receive a sign-on equity award valued at $500,000 in restricted stock units, which will vest ratably on the first, second and third anniversary of the grant date.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Mr. Manthey and any director or executive officer of the Company, and there are no relationships or related transactions between Mr. Manthey and the Company required to be reported.</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contained in the Company’s Proxy Statement for the 2026 Annual Meeting of Stockholders.</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contained in the Company’s Proxy Statement for the 2026 Annual Meeting of Stockholders.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00" w:lineRule="exact"/>
        <w:rPr>
          <w:sz w:val="20"/>
          <w:szCs w:val="20"/>
          <w:color w:val="auto"/>
        </w:rPr>
      </w:pPr>
    </w:p>
    <w:p>
      <w:pPr>
        <w:spacing w:after="0" w:line="36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independent registered public accounting firm is KPMG LLP, Atlanta, GA, Auditor ID: 185.</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contained in the Company’s Proxy Statement for the 2026 Annual Meeting of Stockholders.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1. Consolidated Financial Statements</w:t>
      </w:r>
    </w:p>
    <w:p>
      <w:pPr>
        <w:spacing w:after="0" w:line="25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Mohawk Industries, Inc. and subsidiaries listed in Part II, Item 8 of this Form 10-K are incorporated by reference into this item.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Consolidated Financial Statement Schedules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they are not applicable or the required information is included in the Consolidated Financial Statements or notes thereto.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 number for the exhibit as originally filed is included in parentheses at the end of the description.</w:t>
      </w: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9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20" w:type="dxa"/>
            <w:vAlign w:val="bottom"/>
            <w:gridSpan w:val="20"/>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53"/>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*2.1</w:t>
            </w:r>
          </w:p>
        </w:tc>
        <w:tc>
          <w:tcPr>
            <w:tcW w:w="92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Agreement and Plan of Merger dated as of December 3, 1993 and amended as of January 17, 1994, among Mohawk, AMI</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92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auto"/>
              </w:rPr>
              <w:t>Acquisition Corp., Aladdin and certain Shareholders of Aladdin. (Incorporated herein by reference to Exhibit 2.1(a) in the</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92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Company’s Registration Statement on Form S-4, Registration No. 333-74220.)</w:t>
            </w:r>
          </w:p>
        </w:tc>
        <w:tc>
          <w:tcPr>
            <w:tcW w:w="0" w:type="dxa"/>
            <w:vAlign w:val="bottom"/>
          </w:tcPr>
          <w:p>
            <w:pPr>
              <w:spacing w:after="0"/>
              <w:rPr>
                <w:sz w:val="1"/>
                <w:szCs w:val="1"/>
                <w:color w:val="auto"/>
              </w:rPr>
            </w:pPr>
          </w:p>
        </w:tc>
      </w:tr>
      <w:tr>
        <w:trPr>
          <w:trHeight w:val="292"/>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*3.1</w:t>
            </w:r>
          </w:p>
        </w:tc>
        <w:tc>
          <w:tcPr>
            <w:tcW w:w="9280" w:type="dxa"/>
            <w:vAlign w:val="bottom"/>
            <w:gridSpan w:val="26"/>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Restated Certificate of Incorporation of Mohawk, as amended. (Incorporated herein by reference to Exhibit 3.1 in the</w:t>
              </w:r>
            </w:hyperlink>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84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Company’s Annual Report on Form 10-K for the fiscal year ended December 31, 1998.)</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*3.2</w:t>
            </w:r>
          </w:p>
        </w:tc>
        <w:tc>
          <w:tcPr>
            <w:tcW w:w="9280" w:type="dxa"/>
            <w:vAlign w:val="bottom"/>
            <w:gridSpan w:val="26"/>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Amended and Restated Bylaws of Mohawk. (Incorporated herein by reference to Exhibit 3.1 in the Company’s Report on Form</w:t>
              </w:r>
            </w:hyperlink>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92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8-K dated November 1,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*4.1</w:t>
            </w:r>
          </w:p>
        </w:tc>
        <w:tc>
          <w:tcPr>
            <w:tcW w:w="9280" w:type="dxa"/>
            <w:vAlign w:val="bottom"/>
            <w:gridSpan w:val="26"/>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Indenture, dated as of January 31, 2013, by and between Mohawk Industries, Inc. and U.S. Bank National Association, as</w:t>
              </w:r>
            </w:hyperlink>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Trustee (Incorporated herein by reference to Exhibit 4.1 of the Company’s Current Report on Form 8-K dated January 31,</w:t>
              </w:r>
            </w:hyperlink>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01">
              <w:r>
                <w:rPr>
                  <w:rFonts w:ascii="Times New Roman" w:cs="Times New Roman" w:eastAsia="Times New Roman" w:hAnsi="Times New Roman"/>
                  <w:sz w:val="18"/>
                  <w:szCs w:val="18"/>
                  <w:color w:val="0000FF"/>
                  <w:w w:val="94"/>
                </w:rPr>
                <w:t>2013.</w:t>
              </w:r>
              <w:r>
                <w:rPr>
                  <w:rFonts w:ascii="Times New Roman" w:cs="Times New Roman" w:eastAsia="Times New Roman" w:hAnsi="Times New Roman"/>
                  <w:sz w:val="18"/>
                  <w:szCs w:val="18"/>
                  <w:u w:val="single" w:color="auto"/>
                  <w:color w:val="0000FF"/>
                  <w:w w:val="94"/>
                </w:rPr>
                <w:t>)</w:t>
              </w:r>
            </w:hyperlink>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*4.2</w:t>
            </w:r>
          </w:p>
        </w:tc>
        <w:tc>
          <w:tcPr>
            <w:tcW w:w="9280" w:type="dxa"/>
            <w:vAlign w:val="bottom"/>
            <w:gridSpan w:val="26"/>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First Supplemental Indenture, dated as of January 31, 2013, by and between Mohawk Industries, Inc. and U.S. Bank National</w:t>
              </w:r>
            </w:hyperlink>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90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Association, as Trustee (Incorporated herein by reference to Exhibit 4.2 of the Company’s Current Report on Form 8-K dated</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January 31, 2013.)</w:t>
              </w:r>
            </w:hyperlink>
          </w:p>
        </w:tc>
        <w:tc>
          <w:tcPr>
            <w:tcW w:w="7680" w:type="dxa"/>
            <w:vAlign w:val="bottom"/>
            <w:tcBorders>
              <w:top w:val="single" w:sz="8" w:color="0000FF"/>
            </w:tcBorders>
            <w:gridSpan w:val="14"/>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*4.3</w:t>
            </w:r>
          </w:p>
        </w:tc>
        <w:tc>
          <w:tcPr>
            <w:tcW w:w="928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auto"/>
              </w:rPr>
              <w:t>Form of Note for the 3.850% Senior Notes due 2023 (Incorporated herein by reference to Exhibit 4.3 of the Company’s Current</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9280" w:type="dxa"/>
            <w:vAlign w:val="bottom"/>
            <w:gridSpan w:val="2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92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Report on Form 8-K dated January 31, 2013.)</w:t>
            </w:r>
          </w:p>
        </w:tc>
        <w:tc>
          <w:tcPr>
            <w:tcW w:w="0" w:type="dxa"/>
            <w:vAlign w:val="bottom"/>
          </w:tcPr>
          <w:p>
            <w:pPr>
              <w:spacing w:after="0"/>
              <w:rPr>
                <w:sz w:val="1"/>
                <w:szCs w:val="1"/>
                <w:color w:val="auto"/>
              </w:rPr>
            </w:pPr>
          </w:p>
        </w:tc>
      </w:tr>
      <w:tr>
        <w:trPr>
          <w:trHeight w:val="346"/>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*4.4</w:t>
            </w:r>
          </w:p>
        </w:tc>
        <w:tc>
          <w:tcPr>
            <w:tcW w:w="9280" w:type="dxa"/>
            <w:vAlign w:val="bottom"/>
            <w:gridSpan w:val="26"/>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Third Supplemental Indenture, dated as of May 14, 2020, by and between Mohawk Industries, Inc. and U.S. Bank National</w:t>
              </w:r>
            </w:hyperlink>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00" w:type="dxa"/>
            <w:vAlign w:val="bottom"/>
          </w:tcPr>
          <w:p>
            <w:pPr>
              <w:spacing w:after="0"/>
              <w:rPr>
                <w:sz w:val="15"/>
                <w:szCs w:val="15"/>
                <w:color w:val="auto"/>
              </w:rPr>
            </w:pPr>
          </w:p>
        </w:tc>
        <w:tc>
          <w:tcPr>
            <w:tcW w:w="9280" w:type="dxa"/>
            <w:vAlign w:val="bottom"/>
            <w:gridSpan w:val="26"/>
          </w:tcPr>
          <w:p>
            <w:pPr>
              <w:spacing w:after="0" w:line="18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Association, as trustee. (Incorporated herein by reference to Exhibit 4.2 of the Company’s Current Report on Form 8-K filed on</w:t>
              </w:r>
            </w:hyperlink>
          </w:p>
        </w:tc>
        <w:tc>
          <w:tcPr>
            <w:tcW w:w="0" w:type="dxa"/>
            <w:vAlign w:val="bottom"/>
          </w:tcPr>
          <w:p>
            <w:pPr>
              <w:spacing w:after="0"/>
              <w:rPr>
                <w:sz w:val="1"/>
                <w:szCs w:val="1"/>
                <w:color w:val="auto"/>
              </w:rPr>
            </w:pPr>
          </w:p>
        </w:tc>
      </w:tr>
      <w:tr>
        <w:trPr>
          <w:trHeight w:val="183"/>
        </w:trPr>
        <w:tc>
          <w:tcPr>
            <w:tcW w:w="1900" w:type="dxa"/>
            <w:vAlign w:val="bottom"/>
          </w:tcPr>
          <w:p>
            <w:pPr>
              <w:spacing w:after="0"/>
              <w:rPr>
                <w:sz w:val="15"/>
                <w:szCs w:val="15"/>
                <w:color w:val="auto"/>
              </w:rPr>
            </w:pPr>
          </w:p>
        </w:tc>
        <w:tc>
          <w:tcPr>
            <w:tcW w:w="922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May 18,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*4.5</w:t>
            </w:r>
          </w:p>
        </w:tc>
        <w:tc>
          <w:tcPr>
            <w:tcW w:w="9280" w:type="dxa"/>
            <w:vAlign w:val="bottom"/>
            <w:gridSpan w:val="26"/>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Note for the 3.625% Senior Notes due 2030 (Incorporated herein by reference to Exhibit 4.3 of the Company’s Current</w:t>
              </w:r>
            </w:hyperlink>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Report on Form 8-K dated May 18, 2020.)</w:t>
              </w:r>
            </w:hyperlink>
          </w:p>
        </w:tc>
        <w:tc>
          <w:tcPr>
            <w:tcW w:w="62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*4.6</w:t>
            </w:r>
          </w:p>
        </w:tc>
        <w:tc>
          <w:tcPr>
            <w:tcW w:w="9280" w:type="dxa"/>
            <w:vAlign w:val="bottom"/>
            <w:gridSpan w:val="26"/>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Indenture, dated as of September 11, 2017, by and among Mohawk Capital Finance S.A., as issuer, Mohawk Industries, Inc., as</w:t>
              </w:r>
            </w:hyperlink>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91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parent guarantor and U.S. Bank National Association, as trustee. (Incorporated herein by reference to Exhibit 4.1 to the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Company’s Current Report on Form 8-K dated September 11, 2017.)</w:t>
              </w:r>
            </w:hyperlink>
          </w:p>
        </w:tc>
        <w:tc>
          <w:tcPr>
            <w:tcW w:w="3640" w:type="dxa"/>
            <w:vAlign w:val="bottom"/>
            <w:tcBorders>
              <w:top w:val="single" w:sz="8" w:color="0000FF"/>
            </w:tcBorders>
            <w:gridSpan w:val="5"/>
          </w:tcPr>
          <w:p>
            <w:pPr>
              <w:spacing w:after="0"/>
              <w:rPr>
                <w:sz w:val="13"/>
                <w:szCs w:val="13"/>
                <w:color w:val="auto"/>
              </w:rPr>
            </w:pPr>
          </w:p>
        </w:tc>
        <w:tc>
          <w:tcPr>
            <w:tcW w:w="320" w:type="dxa"/>
            <w:vAlign w:val="bottom"/>
            <w:gridSpan w:val="4"/>
          </w:tcPr>
          <w:p>
            <w:pPr>
              <w:spacing w:after="0"/>
              <w:rPr>
                <w:sz w:val="13"/>
                <w:szCs w:val="13"/>
                <w:color w:val="auto"/>
              </w:rPr>
            </w:pPr>
          </w:p>
        </w:tc>
        <w:tc>
          <w:tcPr>
            <w:tcW w:w="2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*4.7</w:t>
            </w:r>
          </w:p>
        </w:tc>
        <w:tc>
          <w:tcPr>
            <w:tcW w:w="9280" w:type="dxa"/>
            <w:vAlign w:val="bottom"/>
            <w:gridSpan w:val="26"/>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Fourth Supplemental Indenture, dated as of June 12, 2020, by and among Mohawk Capital Finance S.A., as issuer, Mohawk</w:t>
              </w:r>
            </w:hyperlink>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85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Industries, Inc., as parent guarantor, U.S. Bank National Association, as trustee, registrar and transfer agent and Elavon</w:t>
              </w:r>
            </w:hyperlink>
          </w:p>
        </w:tc>
        <w:tc>
          <w:tcPr>
            <w:tcW w:w="340" w:type="dxa"/>
            <w:vAlign w:val="bottom"/>
            <w:tcBorders>
              <w:top w:val="single" w:sz="8" w:color="0000FF"/>
            </w:tcBorders>
            <w:gridSpan w:val="5"/>
          </w:tcPr>
          <w:p>
            <w:pPr>
              <w:spacing w:after="0"/>
              <w:rPr>
                <w:sz w:val="13"/>
                <w:szCs w:val="13"/>
                <w:color w:val="auto"/>
              </w:rPr>
            </w:pPr>
          </w:p>
        </w:tc>
        <w:tc>
          <w:tcPr>
            <w:tcW w:w="2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9280" w:type="dxa"/>
            <w:vAlign w:val="bottom"/>
            <w:gridSpan w:val="26"/>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Financial Services DAC, as paying agent. (Incorporated herein by reference to Exhibit 4.2 of the Company’s Current Report on</w:t>
              </w:r>
            </w:hyperlink>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91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8-K filed on June 12, 2020.)</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198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*4.8</w:t>
            </w:r>
          </w:p>
        </w:tc>
        <w:tc>
          <w:tcPr>
            <w:tcW w:w="9280" w:type="dxa"/>
            <w:vAlign w:val="bottom"/>
            <w:gridSpan w:val="26"/>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Note for the 1.750% Senior Notes due 2027 (Incorporated herein by reference to Exhibit 4.3 of the Company’s Current</w:t>
              </w:r>
            </w:hyperlink>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Report on Form 8-K dated June 12, 2020.)</w:t>
              </w:r>
            </w:hyperlink>
          </w:p>
        </w:tc>
        <w:tc>
          <w:tcPr>
            <w:tcW w:w="62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*4.9</w:t>
            </w:r>
          </w:p>
        </w:tc>
        <w:tc>
          <w:tcPr>
            <w:tcW w:w="9280" w:type="dxa"/>
            <w:vAlign w:val="bottom"/>
            <w:gridSpan w:val="26"/>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Fourth Supplemental Indenture, dated as of September 18, 2023, by and between Mohawk Industries, Inc. and U.S. Bank Trust</w:t>
              </w:r>
            </w:hyperlink>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Company, National Association (as successor in interest to U.S. Bank National Association), as trustee. (Incorporated herein by</w:t>
              </w:r>
            </w:hyperlink>
          </w:p>
        </w:tc>
        <w:tc>
          <w:tcPr>
            <w:tcW w:w="100" w:type="dxa"/>
            <w:vAlign w:val="bottom"/>
            <w:tcBorders>
              <w:bottom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7160" w:type="dxa"/>
            <w:vAlign w:val="bottom"/>
            <w:tcBorders>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reference to Exhibit 4.2 to the Company’s Current Report on Form 8-K dated September 18, 2023).</w:t>
              </w:r>
            </w:hyperlink>
          </w:p>
        </w:tc>
        <w:tc>
          <w:tcPr>
            <w:tcW w:w="2080" w:type="dxa"/>
            <w:vAlign w:val="bottom"/>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280" w:type="dxa"/>
            <w:vAlign w:val="bottom"/>
            <w:gridSpan w:val="32"/>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Note for the 5.850% Senior Notes due 2028. (Incorporated herein by reference to Exhibit 4.3 to the Company’s Current</w:t>
              </w:r>
            </w:hyperlink>
          </w:p>
        </w:tc>
      </w:tr>
      <w:tr>
        <w:trPr>
          <w:trHeight w:val="155"/>
        </w:trPr>
        <w:tc>
          <w:tcPr>
            <w:tcW w:w="190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Report on Form 8-K dated September 18, 2023).</w:t>
              </w:r>
            </w:hyperlink>
          </w:p>
        </w:tc>
        <w:tc>
          <w:tcPr>
            <w:tcW w:w="576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280" w:type="dxa"/>
            <w:vAlign w:val="bottom"/>
            <w:gridSpan w:val="32"/>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Description of Registrant’s Securities. (Incorporated herein by reference to Exhibit 4.9 of the Company’s Annual Report on</w:t>
              </w:r>
            </w:hyperlink>
          </w:p>
        </w:tc>
      </w:tr>
      <w:tr>
        <w:trPr>
          <w:trHeight w:val="155"/>
        </w:trPr>
        <w:tc>
          <w:tcPr>
            <w:tcW w:w="190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Form 10-K filed on February 23, 2022.)</w:t>
              </w:r>
            </w:hyperlink>
          </w:p>
        </w:tc>
        <w:tc>
          <w:tcPr>
            <w:tcW w:w="60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2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Registration Rights Agreement by and among Mohawk and the former shareholders of Aladdin. (Incorporated herein by</w:t>
            </w:r>
          </w:p>
        </w:tc>
      </w:tr>
      <w:tr>
        <w:trPr>
          <w:trHeight w:val="176"/>
        </w:trPr>
        <w:tc>
          <w:tcPr>
            <w:tcW w:w="1900" w:type="dxa"/>
            <w:vAlign w:val="bottom"/>
          </w:tcPr>
          <w:p>
            <w:pPr>
              <w:spacing w:after="0"/>
              <w:rPr>
                <w:sz w:val="15"/>
                <w:szCs w:val="15"/>
                <w:color w:val="auto"/>
              </w:rPr>
            </w:pPr>
          </w:p>
        </w:tc>
        <w:tc>
          <w:tcPr>
            <w:tcW w:w="92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auto"/>
              </w:rPr>
              <w:t>reference to Exhibit 10.32 of the Company’s Annual Report on Form 10-K (File No. 001-13697) for the fiscal year ended</w:t>
            </w:r>
          </w:p>
        </w:tc>
      </w:tr>
      <w:tr>
        <w:trPr>
          <w:trHeight w:val="234"/>
        </w:trPr>
        <w:tc>
          <w:tcPr>
            <w:tcW w:w="1900" w:type="dxa"/>
            <w:vAlign w:val="bottom"/>
          </w:tcPr>
          <w:p>
            <w:pPr>
              <w:spacing w:after="0"/>
              <w:rPr>
                <w:sz w:val="20"/>
                <w:szCs w:val="20"/>
                <w:color w:val="auto"/>
              </w:rPr>
            </w:pPr>
          </w:p>
        </w:tc>
        <w:tc>
          <w:tcPr>
            <w:tcW w:w="92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December 31, 1993.)</w:t>
            </w:r>
          </w:p>
        </w:tc>
      </w:t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280" w:type="dxa"/>
            <w:vAlign w:val="bottom"/>
            <w:gridSpan w:val="32"/>
          </w:tcPr>
          <w:p>
            <w:pPr>
              <w:spacing w:after="0"/>
              <w:rPr>
                <w:sz w:val="20"/>
                <w:szCs w:val="20"/>
                <w:color w:val="auto"/>
              </w:rPr>
            </w:pPr>
            <w:r>
              <w:rPr>
                <w:rFonts w:ascii="Times New Roman" w:cs="Times New Roman" w:eastAsia="Times New Roman" w:hAnsi="Times New Roman"/>
                <w:sz w:val="18"/>
                <w:szCs w:val="18"/>
                <w:color w:val="auto"/>
                <w:w w:val="99"/>
              </w:rPr>
              <w:t>Waiver Agreement between Alan S. Lorberbaum and Mohawk dated as of March 23, 1994 to the Registration Rights Agreement</w:t>
            </w:r>
          </w:p>
        </w:tc>
      </w:tr>
      <w:tr>
        <w:trPr>
          <w:trHeight w:val="176"/>
        </w:trPr>
        <w:tc>
          <w:tcPr>
            <w:tcW w:w="1900" w:type="dxa"/>
            <w:vAlign w:val="bottom"/>
          </w:tcPr>
          <w:p>
            <w:pPr>
              <w:spacing w:after="0"/>
              <w:rPr>
                <w:sz w:val="15"/>
                <w:szCs w:val="15"/>
                <w:color w:val="auto"/>
              </w:rPr>
            </w:pPr>
          </w:p>
        </w:tc>
        <w:tc>
          <w:tcPr>
            <w:tcW w:w="92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auto"/>
              </w:rPr>
              <w:t>dated as of February 25, 1994 between Mohawk and those other persons who are signatories thereto. (Incorporated herein by</w:t>
            </w:r>
          </w:p>
        </w:tc>
      </w:tr>
      <w:tr>
        <w:trPr>
          <w:trHeight w:val="184"/>
        </w:trPr>
        <w:tc>
          <w:tcPr>
            <w:tcW w:w="1900" w:type="dxa"/>
            <w:vAlign w:val="bottom"/>
          </w:tcPr>
          <w:p>
            <w:pPr>
              <w:spacing w:after="0"/>
              <w:rPr>
                <w:sz w:val="16"/>
                <w:szCs w:val="16"/>
                <w:color w:val="auto"/>
              </w:rPr>
            </w:pPr>
          </w:p>
        </w:tc>
        <w:tc>
          <w:tcPr>
            <w:tcW w:w="9280" w:type="dxa"/>
            <w:vAlign w:val="bottom"/>
            <w:gridSpan w:val="32"/>
          </w:tcPr>
          <w:p>
            <w:pPr>
              <w:spacing w:after="0" w:line="184" w:lineRule="exact"/>
              <w:rPr>
                <w:sz w:val="20"/>
                <w:szCs w:val="20"/>
                <w:color w:val="auto"/>
              </w:rPr>
            </w:pPr>
            <w:r>
              <w:rPr>
                <w:rFonts w:ascii="Times New Roman" w:cs="Times New Roman" w:eastAsia="Times New Roman" w:hAnsi="Times New Roman"/>
                <w:sz w:val="18"/>
                <w:szCs w:val="18"/>
                <w:color w:val="auto"/>
              </w:rPr>
              <w:t>reference to Exhibit 10.3 of the Company’s Quarterly Report on Form 10-Q (File No. 001-13697) for the quarter ended July 2,</w:t>
            </w:r>
          </w:p>
        </w:tc>
      </w:tr>
      <w:tr>
        <w:trPr>
          <w:trHeight w:val="234"/>
        </w:trPr>
        <w:tc>
          <w:tcPr>
            <w:tcW w:w="19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1994.)</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280" w:type="dxa"/>
            <w:vAlign w:val="bottom"/>
            <w:gridSpan w:val="32"/>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Second Amended and Restated Credit Facility, dated October 18, 2019, by and among the Company and certain of its</w:t>
              </w:r>
            </w:hyperlink>
          </w:p>
        </w:tc>
      </w:tr>
      <w:tr>
        <w:trPr>
          <w:trHeight w:val="156"/>
        </w:trPr>
        <w:tc>
          <w:tcPr>
            <w:tcW w:w="1900" w:type="dxa"/>
            <w:vAlign w:val="bottom"/>
          </w:tcPr>
          <w:p>
            <w:pPr>
              <w:spacing w:after="0"/>
              <w:rPr>
                <w:sz w:val="13"/>
                <w:szCs w:val="13"/>
                <w:color w:val="auto"/>
              </w:rPr>
            </w:pPr>
          </w:p>
        </w:tc>
        <w:tc>
          <w:tcPr>
            <w:tcW w:w="84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subsidiaries, as borrowers, Wells Fargo Bank, National Association, as administrative agent, swing line lender, and an</w:t>
              </w:r>
            </w:hyperlink>
          </w:p>
        </w:tc>
        <w:tc>
          <w:tcPr>
            <w:tcW w:w="820" w:type="dxa"/>
            <w:vAlign w:val="bottom"/>
            <w:gridSpan w:val="21"/>
          </w:tcPr>
          <w:p>
            <w:pPr>
              <w:ind w:left="60"/>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L/C</w:t>
              </w:r>
            </w:hyperlink>
          </w:p>
        </w:tc>
      </w:tr>
      <w:tr>
        <w:trPr>
          <w:trHeight w:val="20"/>
        </w:trPr>
        <w:tc>
          <w:tcPr>
            <w:tcW w:w="19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1900" w:type="dxa"/>
            <w:vAlign w:val="bottom"/>
          </w:tcPr>
          <w:p>
            <w:pPr>
              <w:spacing w:after="0"/>
              <w:rPr>
                <w:sz w:val="13"/>
                <w:szCs w:val="13"/>
                <w:color w:val="auto"/>
              </w:rPr>
            </w:pPr>
          </w:p>
        </w:tc>
        <w:tc>
          <w:tcPr>
            <w:tcW w:w="9280" w:type="dxa"/>
            <w:vAlign w:val="bottom"/>
            <w:gridSpan w:val="32"/>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issuer, and the other lenders party thereto. (Incorporated herein by reference to Exhibit 10.1 of the Company’s Current Report</w:t>
              </w:r>
            </w:hyperlink>
          </w:p>
        </w:tc>
      </w:tr>
      <w:tr>
        <w:trPr>
          <w:trHeight w:val="169"/>
        </w:trPr>
        <w:tc>
          <w:tcPr>
            <w:tcW w:w="190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on Form 8-K dated October 18, 2019.)</w:t>
              </w:r>
            </w:hyperlink>
          </w:p>
        </w:tc>
        <w:tc>
          <w:tcPr>
            <w:tcW w:w="6260" w:type="dxa"/>
            <w:vAlign w:val="bottom"/>
            <w:tcBorders>
              <w:top w:val="single" w:sz="8" w:color="0000FF"/>
            </w:tcBorders>
            <w:gridSpan w:val="19"/>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0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First Amendment to Second Amended and Restated Credit Agreement, dated as of April 7, 2020, by and among the Company</w:t>
              </w:r>
            </w:hyperlink>
          </w:p>
        </w:tc>
        <w:tc>
          <w:tcPr>
            <w:tcW w:w="200" w:type="dxa"/>
            <w:vAlign w:val="bottom"/>
            <w:gridSpan w:val="8"/>
          </w:tcPr>
          <w:p>
            <w:pPr>
              <w:spacing w:after="0"/>
              <w:rPr>
                <w:sz w:val="22"/>
                <w:szCs w:val="22"/>
                <w:color w:val="auto"/>
              </w:rPr>
            </w:pPr>
          </w:p>
        </w:tc>
      </w:tr>
      <w:tr>
        <w:trPr>
          <w:trHeight w:val="155"/>
        </w:trPr>
        <w:tc>
          <w:tcPr>
            <w:tcW w:w="1900" w:type="dxa"/>
            <w:vAlign w:val="bottom"/>
          </w:tcPr>
          <w:p>
            <w:pPr>
              <w:spacing w:after="0"/>
              <w:rPr>
                <w:sz w:val="13"/>
                <w:szCs w:val="13"/>
                <w:color w:val="auto"/>
              </w:rPr>
            </w:pPr>
          </w:p>
        </w:tc>
        <w:tc>
          <w:tcPr>
            <w:tcW w:w="9280" w:type="dxa"/>
            <w:vAlign w:val="bottom"/>
            <w:gridSpan w:val="32"/>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and certain of its subsidiaries, as borrowers, Wells Fargo Bank, National Association, as administrative agent, swing line lender,</w:t>
              </w:r>
            </w:hyperlink>
          </w:p>
        </w:tc>
      </w:tr>
      <w:tr>
        <w:trPr>
          <w:trHeight w:val="156"/>
        </w:trPr>
        <w:tc>
          <w:tcPr>
            <w:tcW w:w="1900" w:type="dxa"/>
            <w:vAlign w:val="bottom"/>
          </w:tcPr>
          <w:p>
            <w:pPr>
              <w:spacing w:after="0"/>
              <w:rPr>
                <w:sz w:val="13"/>
                <w:szCs w:val="13"/>
                <w:color w:val="auto"/>
              </w:rPr>
            </w:pPr>
          </w:p>
        </w:tc>
        <w:tc>
          <w:tcPr>
            <w:tcW w:w="92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and an L/C issuer, and the other lenders party thereto. (Incorporated herein by reference to Exhibit 10.2 of the Company’s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900" w:type="dxa"/>
            <w:vAlign w:val="bottom"/>
          </w:tcPr>
          <w:p>
            <w:pPr>
              <w:spacing w:after="0"/>
              <w:rPr>
                <w:sz w:val="14"/>
                <w:szCs w:val="14"/>
                <w:color w:val="auto"/>
              </w:rPr>
            </w:pPr>
          </w:p>
        </w:tc>
        <w:tc>
          <w:tcPr>
            <w:tcW w:w="880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Current Report on Form 8-K filed on April 13,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9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280" w:type="dxa"/>
            <w:vAlign w:val="bottom"/>
            <w:gridSpan w:val="32"/>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Second Amendment to Second Amended and Restated Credit Agreement, dated as of May 7, 2020, by and among the Company</w:t>
              </w:r>
            </w:hyperlink>
          </w:p>
        </w:tc>
      </w:tr>
      <w:tr>
        <w:trPr>
          <w:trHeight w:val="156"/>
        </w:trPr>
        <w:tc>
          <w:tcPr>
            <w:tcW w:w="1900" w:type="dxa"/>
            <w:vAlign w:val="bottom"/>
          </w:tcPr>
          <w:p>
            <w:pPr>
              <w:spacing w:after="0"/>
              <w:rPr>
                <w:sz w:val="13"/>
                <w:szCs w:val="13"/>
                <w:color w:val="auto"/>
              </w:rPr>
            </w:pPr>
          </w:p>
        </w:tc>
        <w:tc>
          <w:tcPr>
            <w:tcW w:w="92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and certain of its subsidiaries, as borrowers, Wells Fargo Bank, National Association, as administrative agent, and the other</w:t>
              </w:r>
            </w:hyperlink>
          </w:p>
        </w:tc>
        <w:tc>
          <w:tcPr>
            <w:tcW w:w="40" w:type="dxa"/>
            <w:vAlign w:val="bottom"/>
            <w:gridSpan w:val="2"/>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88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lenders party thereto. (Incorporated herein by reference to Exhibit 10.2 of the Company’s Current Report on Form 8-K filed</w:t>
              </w:r>
            </w:hyperlink>
          </w:p>
        </w:tc>
        <w:tc>
          <w:tcPr>
            <w:tcW w:w="40" w:type="dxa"/>
            <w:vAlign w:val="bottom"/>
            <w:gridSpan w:val="2"/>
          </w:tcPr>
          <w:p>
            <w:pPr>
              <w:spacing w:after="0"/>
              <w:rPr>
                <w:sz w:val="13"/>
                <w:szCs w:val="13"/>
                <w:color w:val="auto"/>
              </w:rPr>
            </w:pPr>
          </w:p>
        </w:tc>
        <w:tc>
          <w:tcPr>
            <w:tcW w:w="360" w:type="dxa"/>
            <w:vAlign w:val="bottom"/>
            <w:gridSpan w:val="12"/>
          </w:tcPr>
          <w:p>
            <w:pPr>
              <w:ind w:left="40"/>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on</w:t>
              </w:r>
            </w:hyperlink>
          </w:p>
        </w:tc>
      </w:tr>
      <w:tr>
        <w:trPr>
          <w:trHeight w:val="169"/>
        </w:trPr>
        <w:tc>
          <w:tcPr>
            <w:tcW w:w="1900" w:type="dxa"/>
            <w:vAlign w:val="bottom"/>
          </w:tcPr>
          <w:p>
            <w:pPr>
              <w:spacing w:after="0"/>
              <w:rPr>
                <w:sz w:val="14"/>
                <w:szCs w:val="14"/>
                <w:color w:val="auto"/>
              </w:rPr>
            </w:pPr>
          </w:p>
        </w:tc>
        <w:tc>
          <w:tcPr>
            <w:tcW w:w="10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14">
              <w:r>
                <w:rPr>
                  <w:rFonts w:ascii="Times New Roman" w:cs="Times New Roman" w:eastAsia="Times New Roman" w:hAnsi="Times New Roman"/>
                  <w:sz w:val="18"/>
                  <w:szCs w:val="18"/>
                  <w:color w:val="0000FF"/>
                  <w:w w:val="97"/>
                </w:rPr>
                <w:t>May 7, 2020.)</w:t>
              </w:r>
            </w:hyperlink>
          </w:p>
        </w:tc>
        <w:tc>
          <w:tcPr>
            <w:tcW w:w="8120" w:type="dxa"/>
            <w:vAlign w:val="bottom"/>
            <w:tcBorders>
              <w:top w:val="single" w:sz="8" w:color="0000FF"/>
            </w:tcBorders>
            <w:gridSpan w:val="2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6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280" w:type="dxa"/>
            <w:vAlign w:val="bottom"/>
            <w:gridSpan w:val="32"/>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Third Amendment to Second Amended and Restated Credit Agreement, dated as of October 28, 2021, by and among the</w:t>
              </w:r>
            </w:hyperlink>
          </w:p>
        </w:tc>
      </w:tr>
      <w:tr>
        <w:trPr>
          <w:trHeight w:val="155"/>
        </w:trPr>
        <w:tc>
          <w:tcPr>
            <w:tcW w:w="1900" w:type="dxa"/>
            <w:vAlign w:val="bottom"/>
          </w:tcPr>
          <w:p>
            <w:pPr>
              <w:spacing w:after="0"/>
              <w:rPr>
                <w:sz w:val="13"/>
                <w:szCs w:val="13"/>
                <w:color w:val="auto"/>
              </w:rPr>
            </w:pPr>
          </w:p>
        </w:tc>
        <w:tc>
          <w:tcPr>
            <w:tcW w:w="86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Company and certain of its subsidiaries, as borrowers, Wells Fargo Bank, National Association, as administrative agent,</w:t>
              </w:r>
            </w:hyperlink>
          </w:p>
        </w:tc>
        <w:tc>
          <w:tcPr>
            <w:tcW w:w="600" w:type="dxa"/>
            <w:vAlign w:val="bottom"/>
            <w:gridSpan w:val="20"/>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and the</w:t>
              </w:r>
            </w:hyperlink>
          </w:p>
        </w:tc>
      </w:tr>
      <w:tr>
        <w:trPr>
          <w:trHeight w:val="156"/>
        </w:trPr>
        <w:tc>
          <w:tcPr>
            <w:tcW w:w="1900" w:type="dxa"/>
            <w:vAlign w:val="bottom"/>
          </w:tcPr>
          <w:p>
            <w:pPr>
              <w:spacing w:after="0"/>
              <w:rPr>
                <w:sz w:val="13"/>
                <w:szCs w:val="13"/>
                <w:color w:val="auto"/>
              </w:rPr>
            </w:pPr>
          </w:p>
        </w:tc>
        <w:tc>
          <w:tcPr>
            <w:tcW w:w="92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other lenders party thereto. (Incorporated herein by reference to Exhibit 10.6 of the Company’s Annual Report on Form 10-K</w:t>
              </w:r>
            </w:hyperlink>
          </w:p>
        </w:tc>
        <w:tc>
          <w:tcPr>
            <w:tcW w:w="80" w:type="dxa"/>
            <w:vAlign w:val="bottom"/>
            <w:gridSpan w:val="4"/>
          </w:tcPr>
          <w:p>
            <w:pPr>
              <w:spacing w:after="0"/>
              <w:rPr>
                <w:sz w:val="13"/>
                <w:szCs w:val="13"/>
                <w:color w:val="auto"/>
              </w:rPr>
            </w:pPr>
          </w:p>
        </w:tc>
      </w:tr>
      <w:tr>
        <w:trPr>
          <w:trHeight w:val="169"/>
        </w:trPr>
        <w:tc>
          <w:tcPr>
            <w:tcW w:w="1900" w:type="dxa"/>
            <w:vAlign w:val="bottom"/>
          </w:tcPr>
          <w:p>
            <w:pPr>
              <w:spacing w:after="0"/>
              <w:rPr>
                <w:sz w:val="14"/>
                <w:szCs w:val="14"/>
                <w:color w:val="auto"/>
              </w:rPr>
            </w:pPr>
          </w:p>
        </w:tc>
        <w:tc>
          <w:tcPr>
            <w:tcW w:w="902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filed on February 23, 2022.)</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
        </w:trPr>
        <w:tc>
          <w:tcPr>
            <w:tcW w:w="19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280" w:type="dxa"/>
            <w:vAlign w:val="bottom"/>
            <w:gridSpan w:val="32"/>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Fourth Amendment to Second Amended and Restated Credit Agreement, dated as of August 12, 2022, by and among the</w:t>
              </w:r>
            </w:hyperlink>
          </w:p>
        </w:tc>
      </w:tr>
      <w:tr>
        <w:trPr>
          <w:trHeight w:val="155"/>
        </w:trPr>
        <w:tc>
          <w:tcPr>
            <w:tcW w:w="1900" w:type="dxa"/>
            <w:vAlign w:val="bottom"/>
          </w:tcPr>
          <w:p>
            <w:pPr>
              <w:spacing w:after="0"/>
              <w:rPr>
                <w:sz w:val="13"/>
                <w:szCs w:val="13"/>
                <w:color w:val="auto"/>
              </w:rPr>
            </w:pPr>
          </w:p>
        </w:tc>
        <w:tc>
          <w:tcPr>
            <w:tcW w:w="87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Company and certain of its subsidiaries, as borrowers, Wells Fargo Bank, National Association, as administrative agent,</w:t>
              </w:r>
            </w:hyperlink>
          </w:p>
        </w:tc>
        <w:tc>
          <w:tcPr>
            <w:tcW w:w="580" w:type="dxa"/>
            <w:vAlign w:val="bottom"/>
            <w:gridSpan w:val="19"/>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swing</w:t>
              </w:r>
            </w:hyperlink>
          </w:p>
        </w:tc>
      </w:tr>
      <w:tr>
        <w:trPr>
          <w:trHeight w:val="155"/>
        </w:trPr>
        <w:tc>
          <w:tcPr>
            <w:tcW w:w="1900" w:type="dxa"/>
            <w:vAlign w:val="bottom"/>
          </w:tcPr>
          <w:p>
            <w:pPr>
              <w:spacing w:after="0"/>
              <w:rPr>
                <w:sz w:val="13"/>
                <w:szCs w:val="13"/>
                <w:color w:val="auto"/>
              </w:rPr>
            </w:pPr>
          </w:p>
        </w:tc>
        <w:tc>
          <w:tcPr>
            <w:tcW w:w="91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line lender, and an L/C issuer, and the other lenders party thereto. (Incorporated herein by reference to Exhibit 10.1 of the</w:t>
              </w:r>
            </w:hyperlink>
          </w:p>
        </w:tc>
        <w:tc>
          <w:tcPr>
            <w:tcW w:w="8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90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Company’s Current Report on Form 8-K filed on August 12, 2022.)</w:t>
              </w:r>
            </w:hyperlink>
          </w:p>
        </w:tc>
        <w:tc>
          <w:tcPr>
            <w:tcW w:w="3860" w:type="dxa"/>
            <w:vAlign w:val="bottom"/>
            <w:tcBorders>
              <w:top w:val="single" w:sz="8" w:color="0000FF"/>
            </w:tcBorders>
            <w:gridSpan w:val="6"/>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6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280" w:type="dxa"/>
            <w:vAlign w:val="bottom"/>
            <w:gridSpan w:val="32"/>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Credit Agreement, dated as of August 12, 2022, by and among the Company and Mohawk International Holdings S.à r.l., as</w:t>
              </w:r>
            </w:hyperlink>
          </w:p>
        </w:tc>
      </w:tr>
      <w:tr>
        <w:trPr>
          <w:trHeight w:val="20"/>
        </w:trPr>
        <w:tc>
          <w:tcPr>
            <w:tcW w:w="19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55"/>
        </w:trPr>
        <w:tc>
          <w:tcPr>
            <w:tcW w:w="1900" w:type="dxa"/>
            <w:vAlign w:val="bottom"/>
          </w:tcPr>
          <w:p>
            <w:pPr>
              <w:spacing w:after="0"/>
              <w:rPr>
                <w:sz w:val="13"/>
                <w:szCs w:val="13"/>
                <w:color w:val="auto"/>
              </w:rPr>
            </w:pPr>
          </w:p>
        </w:tc>
        <w:tc>
          <w:tcPr>
            <w:tcW w:w="9280" w:type="dxa"/>
            <w:vAlign w:val="bottom"/>
            <w:gridSpan w:val="32"/>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borrowers, certain of its subsidiaries, as guarantors, Wells Fargo Bank, National Association, as administrative agent, and the</w:t>
              </w:r>
            </w:hyperlink>
          </w:p>
        </w:tc>
      </w:tr>
      <w:tr>
        <w:trPr>
          <w:trHeight w:val="20"/>
        </w:trPr>
        <w:tc>
          <w:tcPr>
            <w:tcW w:w="19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55"/>
        </w:trPr>
        <w:tc>
          <w:tcPr>
            <w:tcW w:w="1900" w:type="dxa"/>
            <w:vAlign w:val="bottom"/>
          </w:tcPr>
          <w:p>
            <w:pPr>
              <w:spacing w:after="0"/>
              <w:rPr>
                <w:sz w:val="13"/>
                <w:szCs w:val="13"/>
                <w:color w:val="auto"/>
              </w:rPr>
            </w:pPr>
          </w:p>
        </w:tc>
        <w:tc>
          <w:tcPr>
            <w:tcW w:w="9280" w:type="dxa"/>
            <w:vAlign w:val="bottom"/>
            <w:gridSpan w:val="32"/>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lenders party thereto. (Incorporated herein by reference to Exhibit 10.2 of the Company’s Current Report on Form 8-K filed on</w:t>
              </w:r>
            </w:hyperlink>
          </w:p>
        </w:tc>
      </w:tr>
      <w:tr>
        <w:trPr>
          <w:trHeight w:val="169"/>
        </w:trPr>
        <w:tc>
          <w:tcPr>
            <w:tcW w:w="1900" w:type="dxa"/>
            <w:vAlign w:val="bottom"/>
          </w:tcPr>
          <w:p>
            <w:pPr>
              <w:spacing w:after="0"/>
              <w:rPr>
                <w:sz w:val="14"/>
                <w:szCs w:val="14"/>
                <w:color w:val="auto"/>
              </w:rPr>
            </w:pPr>
          </w:p>
        </w:tc>
        <w:tc>
          <w:tcPr>
            <w:tcW w:w="13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17">
              <w:r>
                <w:rPr>
                  <w:rFonts w:ascii="Times New Roman" w:cs="Times New Roman" w:eastAsia="Times New Roman" w:hAnsi="Times New Roman"/>
                  <w:sz w:val="18"/>
                  <w:szCs w:val="18"/>
                  <w:color w:val="0000FF"/>
                  <w:w w:val="98"/>
                </w:rPr>
                <w:t>August 12, 2022.)</w:t>
              </w:r>
            </w:hyperlink>
          </w:p>
        </w:tc>
        <w:tc>
          <w:tcPr>
            <w:tcW w:w="7840" w:type="dxa"/>
            <w:vAlign w:val="bottom"/>
            <w:tcBorders>
              <w:top w:val="single" w:sz="8" w:color="0000FF"/>
            </w:tcBorders>
            <w:gridSpan w:val="24"/>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6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280" w:type="dxa"/>
            <w:vAlign w:val="bottom"/>
            <w:gridSpan w:val="32"/>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First Amendment to Credit Agreement and Increase Agreement, dated as of October 3, 2022, by and among the Company and</w:t>
              </w:r>
            </w:hyperlink>
          </w:p>
        </w:tc>
      </w:tr>
      <w:tr>
        <w:trPr>
          <w:trHeight w:val="155"/>
        </w:trPr>
        <w:tc>
          <w:tcPr>
            <w:tcW w:w="1900" w:type="dxa"/>
            <w:vAlign w:val="bottom"/>
          </w:tcPr>
          <w:p>
            <w:pPr>
              <w:spacing w:after="0"/>
              <w:rPr>
                <w:sz w:val="13"/>
                <w:szCs w:val="13"/>
                <w:color w:val="auto"/>
              </w:rPr>
            </w:pPr>
          </w:p>
        </w:tc>
        <w:tc>
          <w:tcPr>
            <w:tcW w:w="90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Mohawk International Holdings S.à r.l., as borrowers, certain of its subsidiaries, as guarantors, Wells Fargo Bank, National</w:t>
              </w:r>
            </w:hyperlink>
          </w:p>
        </w:tc>
        <w:tc>
          <w:tcPr>
            <w:tcW w:w="10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88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Association, as administrative agent, and the lenders party thereto. (Incorporated herein by reference to Exhibit 10.3 of the</w:t>
              </w:r>
            </w:hyperlink>
          </w:p>
        </w:tc>
        <w:tc>
          <w:tcPr>
            <w:tcW w:w="160" w:type="dxa"/>
            <w:vAlign w:val="bottom"/>
            <w:gridSpan w:val="4"/>
          </w:tcPr>
          <w:p>
            <w:pPr>
              <w:spacing w:after="0"/>
              <w:rPr>
                <w:sz w:val="13"/>
                <w:szCs w:val="13"/>
                <w:color w:val="auto"/>
              </w:rPr>
            </w:pPr>
          </w:p>
        </w:tc>
        <w:tc>
          <w:tcPr>
            <w:tcW w:w="18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900" w:type="dxa"/>
            <w:vAlign w:val="bottom"/>
          </w:tcPr>
          <w:p>
            <w:pPr>
              <w:spacing w:after="0"/>
              <w:rPr>
                <w:sz w:val="14"/>
                <w:szCs w:val="14"/>
                <w:color w:val="auto"/>
              </w:rPr>
            </w:pPr>
          </w:p>
        </w:tc>
        <w:tc>
          <w:tcPr>
            <w:tcW w:w="882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Company’s Quarterly Report on Form 10-Q filed on October 28, 2022.)</w:t>
              </w:r>
            </w:hyperlink>
          </w:p>
        </w:tc>
        <w:tc>
          <w:tcPr>
            <w:tcW w:w="180" w:type="dxa"/>
            <w:vAlign w:val="bottom"/>
            <w:gridSpan w:val="5"/>
          </w:tcPr>
          <w:p>
            <w:pPr>
              <w:spacing w:after="0"/>
              <w:rPr>
                <w:sz w:val="14"/>
                <w:szCs w:val="14"/>
                <w:color w:val="auto"/>
              </w:rPr>
            </w:pPr>
          </w:p>
        </w:tc>
        <w:tc>
          <w:tcPr>
            <w:tcW w:w="18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
        </w:trPr>
        <w:tc>
          <w:tcPr>
            <w:tcW w:w="1900" w:type="dxa"/>
            <w:vAlign w:val="bottom"/>
          </w:tcPr>
          <w:p>
            <w:pPr>
              <w:spacing w:after="0" w:line="20" w:lineRule="exact"/>
              <w:rPr>
                <w:sz w:val="1"/>
                <w:szCs w:val="1"/>
                <w:color w:val="auto"/>
              </w:rPr>
            </w:pPr>
          </w:p>
        </w:tc>
        <w:tc>
          <w:tcPr>
            <w:tcW w:w="5160" w:type="dxa"/>
            <w:vAlign w:val="bottom"/>
            <w:gridSpan w:val="9"/>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280" w:type="dxa"/>
            <w:vAlign w:val="bottom"/>
            <w:gridSpan w:val="32"/>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Lender Joinder Agreement, dated as of August 5, 2024, by and among the Company and certain of its subsidiaries, as</w:t>
              </w:r>
            </w:hyperlink>
          </w:p>
        </w:tc>
      </w:tr>
      <w:tr>
        <w:trPr>
          <w:trHeight w:val="155"/>
        </w:trPr>
        <w:tc>
          <w:tcPr>
            <w:tcW w:w="1900" w:type="dxa"/>
            <w:vAlign w:val="bottom"/>
          </w:tcPr>
          <w:p>
            <w:pPr>
              <w:spacing w:after="0"/>
              <w:rPr>
                <w:sz w:val="13"/>
                <w:szCs w:val="13"/>
                <w:color w:val="auto"/>
              </w:rPr>
            </w:pPr>
          </w:p>
        </w:tc>
        <w:tc>
          <w:tcPr>
            <w:tcW w:w="84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borrowers, Wells Fargo Bank, National Association, as an administrative agent, swing line lender, and an L/C issuer,</w:t>
              </w:r>
            </w:hyperlink>
          </w:p>
        </w:tc>
        <w:tc>
          <w:tcPr>
            <w:tcW w:w="840" w:type="dxa"/>
            <w:vAlign w:val="bottom"/>
            <w:gridSpan w:val="22"/>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and the</w:t>
              </w:r>
            </w:hyperlink>
          </w:p>
        </w:tc>
      </w:tr>
      <w:tr>
        <w:trPr>
          <w:trHeight w:val="156"/>
        </w:trPr>
        <w:tc>
          <w:tcPr>
            <w:tcW w:w="190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other lenders party thereto. (Incorporated herein by reference to Exhibit 10.1 of the Company’s Quarterly Report on Form 10</w:t>
              </w:r>
            </w:hyperlink>
          </w:p>
        </w:tc>
        <w:tc>
          <w:tcPr>
            <w:tcW w:w="18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83"/>
              </w:rPr>
            </w:pPr>
            <w:hyperlink r:id="rId119">
              <w:r>
                <w:rPr>
                  <w:rFonts w:ascii="Times New Roman" w:cs="Times New Roman" w:eastAsia="Times New Roman" w:hAnsi="Times New Roman"/>
                  <w:sz w:val="18"/>
                  <w:szCs w:val="18"/>
                  <w:color w:val="0000FF"/>
                  <w:w w:val="83"/>
                </w:rPr>
                <w:t>-Q</w:t>
              </w:r>
            </w:hyperlink>
          </w:p>
        </w:tc>
        <w:tc>
          <w:tcPr>
            <w:tcW w:w="100" w:type="dxa"/>
            <w:vAlign w:val="bottom"/>
            <w:gridSpan w:val="5"/>
          </w:tcPr>
          <w:p>
            <w:pPr>
              <w:spacing w:after="0"/>
              <w:rPr>
                <w:sz w:val="13"/>
                <w:szCs w:val="13"/>
                <w:color w:val="auto"/>
              </w:rPr>
            </w:pPr>
          </w:p>
        </w:tc>
      </w:tr>
    </w:tbl>
    <w:p>
      <w:pPr>
        <w:ind w:left="192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filed on October 25, 2024.)</w:t>
        </w:r>
      </w:hyperlink>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Exhibits Related to Executive Compensation Plans, Contracts and other Arrangements: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*10.11</w:t>
            </w:r>
          </w:p>
        </w:tc>
        <w:tc>
          <w:tcPr>
            <w:tcW w:w="9320" w:type="dxa"/>
            <w:vAlign w:val="bottom"/>
            <w:gridSpan w:val="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Service Agreement dated December 18, 2018, by and between Mohawk International Services BVBA and Comm. V. “Bernard</w:t>
              </w:r>
            </w:hyperlink>
          </w:p>
        </w:tc>
      </w:tr>
      <w:tr>
        <w:trPr>
          <w:trHeight w:val="155"/>
        </w:trPr>
        <w:tc>
          <w:tcPr>
            <w:tcW w:w="1920" w:type="dxa"/>
            <w:vAlign w:val="bottom"/>
          </w:tcPr>
          <w:p>
            <w:pPr>
              <w:spacing w:after="0"/>
              <w:rPr>
                <w:sz w:val="13"/>
                <w:szCs w:val="13"/>
                <w:color w:val="auto"/>
              </w:rPr>
            </w:pPr>
          </w:p>
        </w:tc>
        <w:tc>
          <w:tcPr>
            <w:tcW w:w="912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Thiers”. (Incorporated herein by reference to Exhibit 10.18 of the Company’s Annual Report on Form 10-K for the fiscal year</w:t>
              </w:r>
            </w:hyperlink>
          </w:p>
        </w:tc>
        <w:tc>
          <w:tcPr>
            <w:tcW w:w="200" w:type="dxa"/>
            <w:vAlign w:val="bottom"/>
          </w:tcPr>
          <w:p>
            <w:pPr>
              <w:spacing w:after="0"/>
              <w:rPr>
                <w:sz w:val="13"/>
                <w:szCs w:val="13"/>
                <w:color w:val="auto"/>
              </w:rPr>
            </w:pPr>
          </w:p>
        </w:tc>
      </w:tr>
      <w:tr>
        <w:trPr>
          <w:trHeight w:val="155"/>
        </w:trPr>
        <w:tc>
          <w:tcPr>
            <w:tcW w:w="1920" w:type="dxa"/>
            <w:vAlign w:val="bottom"/>
          </w:tcPr>
          <w:p>
            <w:pPr>
              <w:spacing w:after="0"/>
              <w:rPr>
                <w:sz w:val="13"/>
                <w:szCs w:val="13"/>
                <w:color w:val="auto"/>
              </w:rPr>
            </w:pPr>
          </w:p>
        </w:tc>
        <w:tc>
          <w:tcPr>
            <w:tcW w:w="906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ended December 31, 2018.)</w:t>
              </w:r>
            </w:hyperlink>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77"/>
        </w:trPr>
        <w:tc>
          <w:tcPr>
            <w:tcW w:w="19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*10.12</w:t>
            </w:r>
          </w:p>
        </w:tc>
        <w:tc>
          <w:tcPr>
            <w:tcW w:w="9320" w:type="dxa"/>
            <w:vAlign w:val="bottom"/>
            <w:gridSpan w:val="7"/>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Employment Agreement dated December 29, 2018, by and between Mohawk Carpet, LLC and Paul F. De Cock (Incorporated</w:t>
              </w:r>
            </w:hyperlink>
          </w:p>
        </w:tc>
      </w:tr>
      <w:tr>
        <w:trPr>
          <w:trHeight w:val="155"/>
        </w:trPr>
        <w:tc>
          <w:tcPr>
            <w:tcW w:w="1920" w:type="dxa"/>
            <w:vAlign w:val="bottom"/>
          </w:tcPr>
          <w:p>
            <w:pPr>
              <w:spacing w:after="0"/>
              <w:rPr>
                <w:sz w:val="13"/>
                <w:szCs w:val="13"/>
                <w:color w:val="auto"/>
              </w:rPr>
            </w:pPr>
          </w:p>
        </w:tc>
        <w:tc>
          <w:tcPr>
            <w:tcW w:w="90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herein by reference to Exhibit 10.22 of the Company’s Annual Report on Form 10-K for the fiscal year ended December 31,</w:t>
              </w:r>
            </w:hyperlink>
          </w:p>
        </w:tc>
        <w:tc>
          <w:tcPr>
            <w:tcW w:w="240" w:type="dxa"/>
            <w:vAlign w:val="bottom"/>
            <w:gridSpan w:val="2"/>
          </w:tcPr>
          <w:p>
            <w:pPr>
              <w:spacing w:after="0"/>
              <w:rPr>
                <w:sz w:val="13"/>
                <w:szCs w:val="13"/>
                <w:color w:val="auto"/>
              </w:rPr>
            </w:pPr>
          </w:p>
        </w:tc>
      </w:tr>
      <w:tr>
        <w:trPr>
          <w:trHeight w:val="155"/>
        </w:trPr>
        <w:tc>
          <w:tcPr>
            <w:tcW w:w="19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21">
              <w:r>
                <w:rPr>
                  <w:rFonts w:ascii="Times New Roman" w:cs="Times New Roman" w:eastAsia="Times New Roman" w:hAnsi="Times New Roman"/>
                  <w:sz w:val="18"/>
                  <w:szCs w:val="18"/>
                  <w:color w:val="0000FF"/>
                  <w:w w:val="94"/>
                </w:rPr>
                <w:t>2018.</w:t>
              </w:r>
              <w:r>
                <w:rPr>
                  <w:rFonts w:ascii="Times New Roman" w:cs="Times New Roman" w:eastAsia="Times New Roman" w:hAnsi="Times New Roman"/>
                  <w:sz w:val="18"/>
                  <w:szCs w:val="18"/>
                  <w:u w:val="single" w:color="auto"/>
                  <w:color w:val="0000FF"/>
                  <w:w w:val="94"/>
                </w:rPr>
                <w:t>)</w:t>
              </w:r>
            </w:hyperlink>
          </w:p>
        </w:tc>
        <w:tc>
          <w:tcPr>
            <w:tcW w:w="1520" w:type="dxa"/>
            <w:vAlign w:val="bottom"/>
            <w:tcBorders>
              <w:top w:val="single" w:sz="8" w:color="0000FF"/>
            </w:tcBorders>
          </w:tcPr>
          <w:p>
            <w:pPr>
              <w:spacing w:after="0"/>
              <w:rPr>
                <w:sz w:val="13"/>
                <w:szCs w:val="13"/>
                <w:color w:val="auto"/>
              </w:rPr>
            </w:pPr>
          </w:p>
        </w:tc>
        <w:tc>
          <w:tcPr>
            <w:tcW w:w="696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938"/>
        </w:trPr>
        <w:tc>
          <w:tcPr>
            <w:tcW w:w="1920" w:type="dxa"/>
            <w:vAlign w:val="bottom"/>
          </w:tcPr>
          <w:p>
            <w:pPr>
              <w:spacing w:after="0"/>
              <w:rPr>
                <w:sz w:val="24"/>
                <w:szCs w:val="24"/>
                <w:color w:val="auto"/>
              </w:rPr>
            </w:pPr>
          </w:p>
        </w:tc>
        <w:tc>
          <w:tcPr>
            <w:tcW w:w="8940" w:type="dxa"/>
            <w:vAlign w:val="bottom"/>
            <w:gridSpan w:val="3"/>
          </w:tcPr>
          <w:p>
            <w:pPr>
              <w:ind w:left="362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200" w:type="dxa"/>
            <w:vAlign w:val="bottom"/>
            <w:gridSpan w:val="24"/>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Employment Agreement dated January 30, 2017 by and between Mohawk Industries, Inc. and Mauro Vandini. (Incorporated</w:t>
              </w:r>
            </w:hyperlink>
          </w:p>
        </w:tc>
      </w:tr>
      <w:tr>
        <w:trPr>
          <w:trHeight w:val="156"/>
        </w:trPr>
        <w:tc>
          <w:tcPr>
            <w:tcW w:w="190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herein by reference to Exhibit 10.2 of the Company’s Quarterly Report on Form 10-Q filed on October 25, 2024.)</w:t>
              </w:r>
            </w:hyperlink>
          </w:p>
        </w:tc>
        <w:tc>
          <w:tcPr>
            <w:tcW w:w="780" w:type="dxa"/>
            <w:vAlign w:val="bottom"/>
            <w:tcBorders>
              <w:top w:val="single" w:sz="8" w:color="0000FF"/>
            </w:tcBorders>
            <w:gridSpan w:val="7"/>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200" w:type="dxa"/>
            <w:vAlign w:val="bottom"/>
            <w:gridSpan w:val="2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Service Agreement dated July 12, 2023, by and between Mohawk International Services BV and Camat BV. (Incorporated</w:t>
              </w:r>
            </w:hyperlink>
          </w:p>
        </w:tc>
      </w:tr>
      <w:tr>
        <w:trPr>
          <w:trHeight w:val="156"/>
        </w:trPr>
        <w:tc>
          <w:tcPr>
            <w:tcW w:w="1900" w:type="dxa"/>
            <w:vAlign w:val="bottom"/>
          </w:tcPr>
          <w:p>
            <w:pPr>
              <w:spacing w:after="0"/>
              <w:rPr>
                <w:sz w:val="13"/>
                <w:szCs w:val="13"/>
                <w:color w:val="auto"/>
              </w:rPr>
            </w:pPr>
          </w:p>
        </w:tc>
        <w:tc>
          <w:tcPr>
            <w:tcW w:w="79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herein by reference to Exhibit 10.1 of the Company’s Quarterly Report on Form 10-Q filed on July 26, 2024.)</w:t>
              </w:r>
            </w:hyperlink>
          </w:p>
        </w:tc>
        <w:tc>
          <w:tcPr>
            <w:tcW w:w="9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200" w:type="dxa"/>
            <w:vAlign w:val="bottom"/>
            <w:gridSpan w:val="24"/>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The Mohawk Industries, Inc. Senior Management Deferred Compensation Plan, as amended and restated as of January 1, 2015.</w:t>
              </w:r>
            </w:hyperlink>
          </w:p>
        </w:tc>
      </w:tr>
      <w:tr>
        <w:trPr>
          <w:trHeight w:val="156"/>
        </w:trPr>
        <w:tc>
          <w:tcPr>
            <w:tcW w:w="1900" w:type="dxa"/>
            <w:vAlign w:val="bottom"/>
          </w:tcPr>
          <w:p>
            <w:pPr>
              <w:spacing w:after="0"/>
              <w:rPr>
                <w:sz w:val="13"/>
                <w:szCs w:val="13"/>
                <w:color w:val="auto"/>
              </w:rPr>
            </w:pPr>
          </w:p>
        </w:tc>
        <w:tc>
          <w:tcPr>
            <w:tcW w:w="91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(Incorporated herein by reference to Exhibit 10.19 in the Company’s annual report on Form 10-K for the fiscal year ended</w:t>
              </w:r>
            </w:hyperlink>
          </w:p>
        </w:tc>
        <w:tc>
          <w:tcPr>
            <w:tcW w:w="2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December 31, 2015.)</w:t>
              </w:r>
            </w:hyperlink>
          </w:p>
        </w:tc>
        <w:tc>
          <w:tcPr>
            <w:tcW w:w="7260" w:type="dxa"/>
            <w:vAlign w:val="bottom"/>
            <w:tcBorders>
              <w:top w:val="single" w:sz="8" w:color="0000FF"/>
            </w:tcBorders>
            <w:gridSpan w:val="15"/>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200" w:type="dxa"/>
            <w:vAlign w:val="bottom"/>
            <w:gridSpan w:val="2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Mohawk Industries, Inc. Non-Employee Director Stock Compensation Plan. (Incorporated herein by reference to Exhibit 10.16</w:t>
              </w:r>
            </w:hyperlink>
          </w:p>
        </w:tc>
      </w:tr>
      <w:tr>
        <w:trPr>
          <w:trHeight w:val="156"/>
        </w:trPr>
        <w:tc>
          <w:tcPr>
            <w:tcW w:w="1900" w:type="dxa"/>
            <w:vAlign w:val="bottom"/>
          </w:tcPr>
          <w:p>
            <w:pPr>
              <w:spacing w:after="0"/>
              <w:rPr>
                <w:sz w:val="13"/>
                <w:szCs w:val="13"/>
                <w:color w:val="auto"/>
              </w:rPr>
            </w:pPr>
          </w:p>
        </w:tc>
        <w:tc>
          <w:tcPr>
            <w:tcW w:w="55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of the Company's Annual Report on Form 10-K filed on February 20, 2025).</w:t>
              </w:r>
            </w:hyperlink>
          </w:p>
        </w:tc>
        <w:tc>
          <w:tcPr>
            <w:tcW w:w="364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200" w:type="dxa"/>
            <w:vAlign w:val="bottom"/>
            <w:gridSpan w:val="24"/>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Mohawk Industries, Inc. 2017 Incentive Plan (Incorporated herein by reference to Annex B of the Company’s Definitive Proxy</w:t>
              </w:r>
            </w:hyperlink>
          </w:p>
        </w:tc>
      </w:tr>
      <w:tr>
        <w:trPr>
          <w:trHeight w:val="156"/>
        </w:trPr>
        <w:tc>
          <w:tcPr>
            <w:tcW w:w="190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Statement on Schedule 14A (File No. 001-13697) filed with the Securities and Exchange Commission on April 6, 2017.)</w:t>
              </w:r>
            </w:hyperlink>
          </w:p>
        </w:tc>
        <w:tc>
          <w:tcPr>
            <w:tcW w:w="44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200" w:type="dxa"/>
            <w:vAlign w:val="bottom"/>
            <w:gridSpan w:val="24"/>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Restricted Stock Unit Award Agreement (Incorporated herein by reference to Exhibit 10.17 of the Company’s Annual</w:t>
              </w:r>
            </w:hyperlink>
          </w:p>
        </w:tc>
      </w:tr>
      <w:tr>
        <w:trPr>
          <w:trHeight w:val="155"/>
        </w:trPr>
        <w:tc>
          <w:tcPr>
            <w:tcW w:w="190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Report on Form 10-K filed on February 22, 2023.)</w:t>
              </w:r>
            </w:hyperlink>
          </w:p>
        </w:tc>
        <w:tc>
          <w:tcPr>
            <w:tcW w:w="5440" w:type="dxa"/>
            <w:vAlign w:val="bottom"/>
            <w:tcBorders>
              <w:top w:val="single" w:sz="8" w:color="0000FF"/>
            </w:tcBorders>
            <w:gridSpan w:val="14"/>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7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9200" w:type="dxa"/>
            <w:vAlign w:val="bottom"/>
            <w:gridSpan w:val="24"/>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Mohawk Industries. Inc. Insider Trading Policy (Incorporated herein by reference to Exhibit 19 of the Company's Annual</w:t>
              </w:r>
            </w:hyperlink>
          </w:p>
        </w:tc>
      </w:tr>
      <w:tr>
        <w:trPr>
          <w:trHeight w:val="155"/>
        </w:trPr>
        <w:tc>
          <w:tcPr>
            <w:tcW w:w="190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Report on Form 10-K filed on February 20, 2025.)</w:t>
              </w:r>
            </w:hyperlink>
          </w:p>
        </w:tc>
        <w:tc>
          <w:tcPr>
            <w:tcW w:w="51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360" w:type="dxa"/>
            <w:vAlign w:val="bottom"/>
            <w:gridSpan w:val="6"/>
          </w:tcPr>
          <w:p>
            <w:pPr>
              <w:spacing w:after="0"/>
              <w:rPr>
                <w:sz w:val="13"/>
                <w:szCs w:val="13"/>
                <w:color w:val="auto"/>
              </w:rPr>
            </w:pPr>
          </w:p>
        </w:tc>
      </w:tr>
      <w:tr>
        <w:trPr>
          <w:trHeight w:val="27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6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Subsidiary Guarantors.</w:t>
            </w:r>
          </w:p>
        </w:tc>
        <w:tc>
          <w:tcPr>
            <w:tcW w:w="500" w:type="dxa"/>
            <w:vAlign w:val="bottom"/>
            <w:tcBorders>
              <w:top w:val="single" w:sz="8" w:color="0000FF"/>
            </w:tcBorders>
          </w:tcPr>
          <w:p>
            <w:pPr>
              <w:spacing w:after="0"/>
              <w:rPr>
                <w:sz w:val="22"/>
                <w:szCs w:val="22"/>
                <w:color w:val="auto"/>
              </w:rPr>
            </w:pPr>
          </w:p>
        </w:tc>
        <w:tc>
          <w:tcPr>
            <w:tcW w:w="7040" w:type="dxa"/>
            <w:vAlign w:val="bottom"/>
            <w:gridSpan w:val="21"/>
          </w:tcPr>
          <w:p>
            <w:pPr>
              <w:spacing w:after="0"/>
              <w:rPr>
                <w:sz w:val="22"/>
                <w:szCs w:val="22"/>
                <w:color w:val="auto"/>
              </w:rPr>
            </w:pPr>
          </w:p>
        </w:tc>
      </w:tr>
      <w:tr>
        <w:trPr>
          <w:trHeight w:val="26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(KPMG LLP).</w:t>
            </w:r>
          </w:p>
        </w:tc>
      </w:tr>
      <w:tr>
        <w:trPr>
          <w:trHeight w:val="26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9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w:t>
            </w:r>
          </w:p>
        </w:tc>
        <w:tc>
          <w:tcPr>
            <w:tcW w:w="2460" w:type="dxa"/>
            <w:vAlign w:val="bottom"/>
            <w:tcBorders>
              <w:top w:val="single" w:sz="8" w:color="0000FF"/>
            </w:tcBorders>
            <w:gridSpan w:val="5"/>
          </w:tcPr>
          <w:p>
            <w:pPr>
              <w:spacing w:after="0"/>
              <w:rPr>
                <w:sz w:val="22"/>
                <w:szCs w:val="22"/>
                <w:color w:val="auto"/>
              </w:rPr>
            </w:pPr>
          </w:p>
        </w:tc>
        <w:tc>
          <w:tcPr>
            <w:tcW w:w="3800" w:type="dxa"/>
            <w:vAlign w:val="bottom"/>
            <w:gridSpan w:val="15"/>
          </w:tcPr>
          <w:p>
            <w:pPr>
              <w:spacing w:after="0"/>
              <w:rPr>
                <w:sz w:val="22"/>
                <w:szCs w:val="22"/>
                <w:color w:val="auto"/>
              </w:rPr>
            </w:pPr>
          </w:p>
        </w:tc>
      </w:tr>
      <w:tr>
        <w:trPr>
          <w:trHeight w:val="26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9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w:t>
            </w:r>
          </w:p>
        </w:tc>
        <w:tc>
          <w:tcPr>
            <w:tcW w:w="6260" w:type="dxa"/>
            <w:vAlign w:val="bottom"/>
            <w:gridSpan w:val="20"/>
          </w:tcPr>
          <w:p>
            <w:pPr>
              <w:spacing w:after="0"/>
              <w:rPr>
                <w:sz w:val="22"/>
                <w:szCs w:val="22"/>
                <w:color w:val="auto"/>
              </w:rPr>
            </w:pPr>
          </w:p>
        </w:tc>
      </w:tr>
      <w:tr>
        <w:trPr>
          <w:trHeight w:val="26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r>
      <w:tr>
        <w:trPr>
          <w:trHeight w:val="20"/>
        </w:trPr>
        <w:tc>
          <w:tcPr>
            <w:tcW w:w="1900" w:type="dxa"/>
            <w:vAlign w:val="bottom"/>
          </w:tcPr>
          <w:p>
            <w:pPr>
              <w:spacing w:after="0" w:line="20" w:lineRule="exact"/>
              <w:rPr>
                <w:sz w:val="1"/>
                <w:szCs w:val="1"/>
                <w:color w:val="auto"/>
              </w:rPr>
            </w:pPr>
          </w:p>
        </w:tc>
        <w:tc>
          <w:tcPr>
            <w:tcW w:w="5020" w:type="dxa"/>
            <w:vAlign w:val="bottom"/>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r>
      <w:tr>
        <w:trPr>
          <w:trHeight w:val="26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r>
      <w:tr>
        <w:trPr>
          <w:trHeight w:val="20"/>
        </w:trPr>
        <w:tc>
          <w:tcPr>
            <w:tcW w:w="1900" w:type="dxa"/>
            <w:vAlign w:val="bottom"/>
          </w:tcPr>
          <w:p>
            <w:pPr>
              <w:spacing w:after="0" w:line="20" w:lineRule="exact"/>
              <w:rPr>
                <w:sz w:val="1"/>
                <w:szCs w:val="1"/>
                <w:color w:val="auto"/>
              </w:rPr>
            </w:pPr>
          </w:p>
        </w:tc>
        <w:tc>
          <w:tcPr>
            <w:tcW w:w="5020" w:type="dxa"/>
            <w:vAlign w:val="bottom"/>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r>
      <w:tr>
        <w:trPr>
          <w:trHeight w:val="26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95.1</w:t>
            </w:r>
          </w:p>
        </w:tc>
        <w:tc>
          <w:tcPr>
            <w:tcW w:w="87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Mine Safety Disclosure pursuant to Section 1503(a) of the Dodd-Frank Wall Street Reform and Consumer Protection Act</w:t>
            </w:r>
          </w:p>
        </w:tc>
        <w:tc>
          <w:tcPr>
            <w:tcW w:w="440" w:type="dxa"/>
            <w:vAlign w:val="bottom"/>
            <w:gridSpan w:val="9"/>
          </w:tcPr>
          <w:p>
            <w:pPr>
              <w:spacing w:after="0"/>
              <w:rPr>
                <w:sz w:val="22"/>
                <w:szCs w:val="22"/>
                <w:color w:val="auto"/>
              </w:rPr>
            </w:pPr>
          </w:p>
        </w:tc>
      </w:tr>
      <w:tr>
        <w:trPr>
          <w:trHeight w:val="30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9200" w:type="dxa"/>
            <w:vAlign w:val="bottom"/>
            <w:gridSpan w:val="24"/>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Policy Relating to Recovery of Erroneously Awarded Compensation (Incorporated herein by reference to Exhibit 97 of the</w:t>
              </w:r>
            </w:hyperlink>
          </w:p>
        </w:tc>
      </w:tr>
      <w:tr>
        <w:trPr>
          <w:trHeight w:val="156"/>
        </w:trPr>
        <w:tc>
          <w:tcPr>
            <w:tcW w:w="1900" w:type="dxa"/>
            <w:vAlign w:val="bottom"/>
          </w:tcPr>
          <w:p>
            <w:pPr>
              <w:spacing w:after="0"/>
              <w:rPr>
                <w:sz w:val="13"/>
                <w:szCs w:val="13"/>
                <w:color w:val="auto"/>
              </w:rPr>
            </w:pPr>
          </w:p>
        </w:tc>
        <w:tc>
          <w:tcPr>
            <w:tcW w:w="88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Company’s Annual Report on Form 10-K filed on February23, 2024.)</w:t>
              </w:r>
            </w:hyperlink>
          </w:p>
        </w:tc>
        <w:tc>
          <w:tcPr>
            <w:tcW w:w="360" w:type="dxa"/>
            <w:vAlign w:val="bottom"/>
            <w:gridSpan w:val="6"/>
          </w:tcPr>
          <w:p>
            <w:pPr>
              <w:spacing w:after="0"/>
              <w:rPr>
                <w:sz w:val="13"/>
                <w:szCs w:val="13"/>
                <w:color w:val="auto"/>
              </w:rPr>
            </w:pPr>
          </w:p>
        </w:tc>
      </w:tr>
      <w:tr>
        <w:trPr>
          <w:trHeight w:val="358"/>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0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4180" w:type="dxa"/>
            <w:vAlign w:val="bottom"/>
            <w:gridSpan w:val="17"/>
          </w:tcPr>
          <w:p>
            <w:pPr>
              <w:spacing w:after="0"/>
              <w:rPr>
                <w:sz w:val="24"/>
                <w:szCs w:val="24"/>
                <w:color w:val="auto"/>
              </w:rPr>
            </w:pP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tc>
      </w:tr>
    </w:tbl>
    <w:p>
      <w:pPr>
        <w:spacing w:after="0" w:line="103" w:lineRule="exact"/>
        <w:rPr>
          <w:sz w:val="20"/>
          <w:szCs w:val="20"/>
          <w:color w:val="auto"/>
        </w:rPr>
      </w:pPr>
    </w:p>
    <w:p>
      <w:pPr>
        <w:ind w:left="360" w:hanging="334"/>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exhibit incorporated by reference.</w:t>
      </w:r>
    </w:p>
    <w:p>
      <w:pPr>
        <w:spacing w:after="0" w:line="9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Mohawk Industries, Inc.</w:t>
            </w:r>
          </w:p>
        </w:tc>
        <w:tc>
          <w:tcPr>
            <w:tcW w:w="5340" w:type="dxa"/>
            <w:vAlign w:val="bottom"/>
          </w:tcPr>
          <w:p>
            <w:pPr>
              <w:spacing w:after="0"/>
              <w:rPr>
                <w:sz w:val="19"/>
                <w:szCs w:val="19"/>
                <w:color w:val="auto"/>
              </w:rPr>
            </w:pPr>
          </w:p>
        </w:tc>
      </w:tr>
      <w:tr>
        <w:trPr>
          <w:trHeight w:val="234"/>
        </w:trPr>
        <w:tc>
          <w:tcPr>
            <w:tcW w:w="578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/s/  JEFFREY S. LORBERBAUM</w:t>
            </w:r>
          </w:p>
        </w:tc>
      </w:tr>
      <w:tr>
        <w:trPr>
          <w:trHeight w:val="196"/>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February 23, 2026</w:t>
            </w: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Jeffrey S. Lorberbaum</w:t>
            </w:r>
          </w:p>
        </w:tc>
      </w:tr>
      <w:tr>
        <w:trPr>
          <w:trHeight w:val="192"/>
        </w:trPr>
        <w:tc>
          <w:tcPr>
            <w:tcW w:w="5780" w:type="dxa"/>
            <w:vAlign w:val="bottom"/>
          </w:tcPr>
          <w:p>
            <w:pPr>
              <w:spacing w:after="0"/>
              <w:rPr>
                <w:sz w:val="16"/>
                <w:szCs w:val="16"/>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Chairman and Chief Executive Officer</w:t>
            </w:r>
          </w:p>
        </w:tc>
      </w:tr>
    </w:tbl>
    <w:p>
      <w:pPr>
        <w:spacing w:after="0" w:line="163"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2026</w:t>
            </w:r>
          </w:p>
        </w:tc>
        <w:tc>
          <w:tcPr>
            <w:tcW w:w="56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/s/  JEFFREY S. LORBERBAUM</w:t>
            </w:r>
          </w:p>
        </w:tc>
      </w:tr>
      <w:tr>
        <w:trPr>
          <w:trHeight w:val="189"/>
        </w:trPr>
        <w:tc>
          <w:tcPr>
            <w:tcW w:w="5580" w:type="dxa"/>
            <w:vAlign w:val="bottom"/>
          </w:tcPr>
          <w:p>
            <w:pPr>
              <w:spacing w:after="0"/>
              <w:rPr>
                <w:sz w:val="16"/>
                <w:szCs w:val="16"/>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Jeffrey S. Lorberbaum</w:t>
            </w:r>
          </w:p>
        </w:tc>
      </w:tr>
      <w:tr>
        <w:trPr>
          <w:trHeight w:val="148"/>
        </w:trPr>
        <w:tc>
          <w:tcPr>
            <w:tcW w:w="5580" w:type="dxa"/>
            <w:vAlign w:val="bottom"/>
          </w:tcPr>
          <w:p>
            <w:pPr>
              <w:spacing w:after="0"/>
              <w:rPr>
                <w:sz w:val="12"/>
                <w:szCs w:val="12"/>
                <w:color w:val="auto"/>
              </w:rPr>
            </w:pPr>
          </w:p>
        </w:tc>
        <w:tc>
          <w:tcPr>
            <w:tcW w:w="5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Chairman and Chief Executive Officer</w:t>
            </w:r>
          </w:p>
        </w:tc>
      </w:tr>
      <w:tr>
        <w:trPr>
          <w:trHeight w:val="192"/>
        </w:trPr>
        <w:tc>
          <w:tcPr>
            <w:tcW w:w="5580" w:type="dxa"/>
            <w:vAlign w:val="bottom"/>
          </w:tcPr>
          <w:p>
            <w:pPr>
              <w:spacing w:after="0"/>
              <w:rPr>
                <w:sz w:val="16"/>
                <w:szCs w:val="16"/>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(principal executive officer)</w:t>
            </w:r>
          </w:p>
        </w:tc>
      </w:tr>
    </w:tbl>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2026</w:t>
            </w: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F. BRUNK</w:t>
            </w:r>
          </w:p>
        </w:tc>
      </w:tr>
      <w:tr>
        <w:trPr>
          <w:trHeight w:val="183"/>
        </w:trPr>
        <w:tc>
          <w:tcPr>
            <w:tcW w:w="5580" w:type="dxa"/>
            <w:vAlign w:val="bottom"/>
          </w:tcPr>
          <w:p>
            <w:pPr>
              <w:spacing w:after="0"/>
              <w:rPr>
                <w:sz w:val="15"/>
                <w:szCs w:val="15"/>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James F. Brunk</w:t>
            </w:r>
          </w:p>
        </w:tc>
      </w:tr>
      <w:tr>
        <w:trPr>
          <w:trHeight w:val="148"/>
        </w:trPr>
        <w:tc>
          <w:tcPr>
            <w:tcW w:w="5580" w:type="dxa"/>
            <w:vAlign w:val="bottom"/>
          </w:tcPr>
          <w:p>
            <w:pPr>
              <w:spacing w:after="0"/>
              <w:rPr>
                <w:sz w:val="12"/>
                <w:szCs w:val="12"/>
                <w:color w:val="auto"/>
              </w:rPr>
            </w:pPr>
          </w:p>
        </w:tc>
        <w:tc>
          <w:tcPr>
            <w:tcW w:w="5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Chief Financial Officer</w:t>
            </w:r>
          </w:p>
        </w:tc>
      </w:tr>
      <w:tr>
        <w:trPr>
          <w:trHeight w:val="192"/>
        </w:trPr>
        <w:tc>
          <w:tcPr>
            <w:tcW w:w="5580" w:type="dxa"/>
            <w:vAlign w:val="bottom"/>
          </w:tcPr>
          <w:p>
            <w:pPr>
              <w:spacing w:after="0"/>
              <w:rPr>
                <w:sz w:val="16"/>
                <w:szCs w:val="16"/>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(principal financial officer)</w:t>
            </w:r>
          </w:p>
        </w:tc>
      </w:tr>
    </w:tbl>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2026</w:t>
            </w: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L. REPP</w:t>
            </w:r>
          </w:p>
        </w:tc>
      </w:tr>
      <w:tr>
        <w:trPr>
          <w:trHeight w:val="183"/>
        </w:trPr>
        <w:tc>
          <w:tcPr>
            <w:tcW w:w="5580" w:type="dxa"/>
            <w:vAlign w:val="bottom"/>
          </w:tcPr>
          <w:p>
            <w:pPr>
              <w:spacing w:after="0"/>
              <w:rPr>
                <w:sz w:val="15"/>
                <w:szCs w:val="15"/>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David L. Repp</w:t>
            </w:r>
          </w:p>
        </w:tc>
      </w:tr>
      <w:tr>
        <w:trPr>
          <w:trHeight w:val="148"/>
        </w:trPr>
        <w:tc>
          <w:tcPr>
            <w:tcW w:w="5580" w:type="dxa"/>
            <w:vAlign w:val="bottom"/>
          </w:tcPr>
          <w:p>
            <w:pPr>
              <w:spacing w:after="0"/>
              <w:rPr>
                <w:sz w:val="12"/>
                <w:szCs w:val="12"/>
                <w:color w:val="auto"/>
              </w:rPr>
            </w:pPr>
          </w:p>
        </w:tc>
        <w:tc>
          <w:tcPr>
            <w:tcW w:w="56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Chief Accounting Officer and Corporate Controller</w:t>
            </w:r>
          </w:p>
        </w:tc>
      </w:tr>
      <w:tr>
        <w:trPr>
          <w:trHeight w:val="192"/>
        </w:trPr>
        <w:tc>
          <w:tcPr>
            <w:tcW w:w="5580" w:type="dxa"/>
            <w:vAlign w:val="bottom"/>
          </w:tcPr>
          <w:p>
            <w:pPr>
              <w:spacing w:after="0"/>
              <w:rPr>
                <w:sz w:val="16"/>
                <w:szCs w:val="16"/>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(principal accounting officer)</w:t>
            </w:r>
          </w:p>
        </w:tc>
      </w:tr>
    </w:tbl>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2026</w:t>
            </w: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w:t>
            </w:r>
          </w:p>
        </w:tc>
        <w:tc>
          <w:tcPr>
            <w:tcW w:w="3880" w:type="dxa"/>
            <w:vAlign w:val="bottom"/>
            <w:tcBorders>
              <w:bottom w:val="single" w:sz="8" w:color="auto"/>
            </w:tcBorders>
            <w:gridSpan w:val="3"/>
          </w:tcPr>
          <w:p>
            <w:pPr>
              <w:jc w:val="center"/>
              <w:ind w:right="1700"/>
              <w:spacing w:after="0"/>
              <w:rPr>
                <w:sz w:val="20"/>
                <w:szCs w:val="20"/>
                <w:color w:val="auto"/>
              </w:rPr>
            </w:pPr>
            <w:r>
              <w:rPr>
                <w:rFonts w:ascii="Times New Roman" w:cs="Times New Roman" w:eastAsia="Times New Roman" w:hAnsi="Times New Roman"/>
                <w:sz w:val="18"/>
                <w:szCs w:val="18"/>
                <w:color w:val="auto"/>
                <w:w w:val="99"/>
              </w:rPr>
              <w:t>BRUCE C. BRUCKMANN</w:t>
            </w:r>
          </w:p>
        </w:tc>
        <w:tc>
          <w:tcPr>
            <w:tcW w:w="20" w:type="dxa"/>
            <w:vAlign w:val="bottom"/>
          </w:tcPr>
          <w:p>
            <w:pPr>
              <w:spacing w:after="0"/>
              <w:rPr>
                <w:sz w:val="20"/>
                <w:szCs w:val="20"/>
                <w:color w:val="auto"/>
              </w:rPr>
            </w:pPr>
          </w:p>
        </w:tc>
      </w:tr>
      <w:tr>
        <w:trPr>
          <w:trHeight w:val="189"/>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gridSpan w:val="2"/>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Bruce C. Bruckmann</w:t>
            </w:r>
          </w:p>
        </w:tc>
        <w:tc>
          <w:tcPr>
            <w:tcW w:w="20" w:type="dxa"/>
            <w:vAlign w:val="bottom"/>
          </w:tcPr>
          <w:p>
            <w:pPr>
              <w:spacing w:after="0"/>
              <w:rPr>
                <w:sz w:val="16"/>
                <w:szCs w:val="16"/>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gridSpan w:val="2"/>
          </w:tcPr>
          <w:p>
            <w:pPr>
              <w:jc w:val="center"/>
              <w:ind w:right="2040"/>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c>
          <w:tcPr>
            <w:tcW w:w="20" w:type="dxa"/>
            <w:vAlign w:val="bottom"/>
          </w:tcPr>
          <w:p>
            <w:pPr>
              <w:spacing w:after="0"/>
              <w:rPr>
                <w:sz w:val="16"/>
                <w:szCs w:val="16"/>
                <w:color w:val="auto"/>
              </w:rPr>
            </w:pPr>
          </w:p>
        </w:tc>
      </w:tr>
      <w:tr>
        <w:trPr>
          <w:trHeight w:val="37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2026</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/s/</w:t>
            </w:r>
          </w:p>
        </w:tc>
        <w:tc>
          <w:tcPr>
            <w:tcW w:w="3560" w:type="dxa"/>
            <w:vAlign w:val="bottom"/>
            <w:gridSpan w:val="2"/>
          </w:tcPr>
          <w:p>
            <w:pPr>
              <w:jc w:val="right"/>
              <w:ind w:right="1900"/>
              <w:spacing w:after="0"/>
              <w:rPr>
                <w:sz w:val="20"/>
                <w:szCs w:val="20"/>
                <w:color w:val="auto"/>
              </w:rPr>
            </w:pPr>
            <w:r>
              <w:rPr>
                <w:rFonts w:ascii="Times New Roman" w:cs="Times New Roman" w:eastAsia="Times New Roman" w:hAnsi="Times New Roman"/>
                <w:sz w:val="18"/>
                <w:szCs w:val="18"/>
                <w:color w:val="auto"/>
              </w:rPr>
              <w:t>JERRY W. BURRIS</w:t>
            </w:r>
          </w:p>
        </w:tc>
        <w:tc>
          <w:tcPr>
            <w:tcW w:w="20" w:type="dxa"/>
            <w:vAlign w:val="bottom"/>
          </w:tcPr>
          <w:p>
            <w:pPr>
              <w:spacing w:after="0"/>
              <w:rPr>
                <w:sz w:val="24"/>
                <w:szCs w:val="24"/>
                <w:color w:val="auto"/>
              </w:rPr>
            </w:pPr>
          </w:p>
        </w:tc>
      </w:tr>
      <w:tr>
        <w:trPr>
          <w:trHeight w:val="183"/>
        </w:trPr>
        <w:tc>
          <w:tcPr>
            <w:tcW w:w="34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540" w:type="dxa"/>
            <w:vAlign w:val="bottom"/>
            <w:tcBorders>
              <w:top w:val="single" w:sz="8" w:color="auto"/>
            </w:tcBorders>
          </w:tcPr>
          <w:p>
            <w:pPr>
              <w:jc w:val="center"/>
              <w:ind w:right="1986"/>
              <w:spacing w:after="0"/>
              <w:rPr>
                <w:sz w:val="20"/>
                <w:szCs w:val="20"/>
                <w:color w:val="auto"/>
              </w:rPr>
            </w:pPr>
            <w:r>
              <w:rPr>
                <w:rFonts w:ascii="Times New Roman" w:cs="Times New Roman" w:eastAsia="Times New Roman" w:hAnsi="Times New Roman"/>
                <w:sz w:val="14"/>
                <w:szCs w:val="14"/>
                <w:b w:val="1"/>
                <w:bCs w:val="1"/>
                <w:color w:val="auto"/>
                <w:w w:val="99"/>
              </w:rPr>
              <w:t>Jerry W. Burris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c>
          <w:tcPr>
            <w:tcW w:w="20" w:type="dxa"/>
            <w:vAlign w:val="bottom"/>
          </w:tcPr>
          <w:p>
            <w:pPr>
              <w:spacing w:after="0"/>
              <w:rPr>
                <w:sz w:val="16"/>
                <w:szCs w:val="16"/>
                <w:color w:val="auto"/>
              </w:rPr>
            </w:pPr>
          </w:p>
        </w:tc>
      </w:tr>
      <w:tr>
        <w:trPr>
          <w:trHeight w:val="374"/>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23, 2026</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/s/ JOHN M. ENGQUIST</w:t>
            </w:r>
          </w:p>
        </w:tc>
        <w:tc>
          <w:tcPr>
            <w:tcW w:w="20" w:type="dxa"/>
            <w:vAlign w:val="bottom"/>
            <w:tcBorders>
              <w:bottom w:val="single" w:sz="8" w:color="auto"/>
            </w:tcBorders>
          </w:tcPr>
          <w:p>
            <w:pPr>
              <w:spacing w:after="0"/>
              <w:rPr>
                <w:sz w:val="24"/>
                <w:szCs w:val="24"/>
                <w:color w:val="auto"/>
              </w:rPr>
            </w:pPr>
          </w:p>
        </w:tc>
      </w:tr>
      <w:tr>
        <w:trPr>
          <w:trHeight w:val="183"/>
        </w:trPr>
        <w:tc>
          <w:tcPr>
            <w:tcW w:w="34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60" w:type="dxa"/>
            <w:vAlign w:val="bottom"/>
            <w:gridSpan w:val="2"/>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John M. Engquist</w:t>
            </w:r>
          </w:p>
        </w:tc>
        <w:tc>
          <w:tcPr>
            <w:tcW w:w="20" w:type="dxa"/>
            <w:vAlign w:val="bottom"/>
          </w:tcPr>
          <w:p>
            <w:pPr>
              <w:spacing w:after="0"/>
              <w:rPr>
                <w:sz w:val="15"/>
                <w:szCs w:val="15"/>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gridSpan w:val="2"/>
          </w:tcPr>
          <w:p>
            <w:pPr>
              <w:jc w:val="center"/>
              <w:ind w:right="2020"/>
              <w:spacing w:after="0"/>
              <w:rPr>
                <w:sz w:val="20"/>
                <w:szCs w:val="20"/>
                <w:color w:val="auto"/>
              </w:rPr>
            </w:pPr>
            <w:r>
              <w:rPr>
                <w:rFonts w:ascii="Times New Roman" w:cs="Times New Roman" w:eastAsia="Times New Roman" w:hAnsi="Times New Roman"/>
                <w:sz w:val="14"/>
                <w:szCs w:val="14"/>
                <w:b w:val="1"/>
                <w:bCs w:val="1"/>
                <w:i w:val="1"/>
                <w:iCs w:val="1"/>
                <w:color w:val="auto"/>
              </w:rPr>
              <w:t>Director</w:t>
            </w:r>
          </w:p>
        </w:tc>
        <w:tc>
          <w:tcPr>
            <w:tcW w:w="20" w:type="dxa"/>
            <w:vAlign w:val="bottom"/>
          </w:tcPr>
          <w:p>
            <w:pPr>
              <w:spacing w:after="0"/>
              <w:rPr>
                <w:sz w:val="16"/>
                <w:szCs w:val="16"/>
                <w:color w:val="auto"/>
              </w:rPr>
            </w:pPr>
          </w:p>
        </w:tc>
      </w:tr>
      <w:tr>
        <w:trPr>
          <w:trHeight w:val="36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2026</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tcBorders>
              <w:bottom w:val="single" w:sz="8" w:color="auto"/>
            </w:tcBorders>
            <w:gridSpan w:val="4"/>
          </w:tcPr>
          <w:p>
            <w:pPr>
              <w:jc w:val="right"/>
              <w:ind w:right="1920"/>
              <w:spacing w:after="0"/>
              <w:rPr>
                <w:sz w:val="20"/>
                <w:szCs w:val="20"/>
                <w:color w:val="auto"/>
              </w:rPr>
            </w:pPr>
            <w:r>
              <w:rPr>
                <w:rFonts w:ascii="Times New Roman" w:cs="Times New Roman" w:eastAsia="Times New Roman" w:hAnsi="Times New Roman"/>
                <w:sz w:val="18"/>
                <w:szCs w:val="18"/>
                <w:color w:val="auto"/>
              </w:rPr>
              <w:t>/s/ JOSEPH A. ONORATO</w:t>
            </w:r>
          </w:p>
        </w:tc>
        <w:tc>
          <w:tcPr>
            <w:tcW w:w="20" w:type="dxa"/>
            <w:vAlign w:val="bottom"/>
            <w:tcBorders>
              <w:bottom w:val="single" w:sz="8" w:color="auto"/>
            </w:tcBorders>
          </w:tcPr>
          <w:p>
            <w:pPr>
              <w:spacing w:after="0"/>
              <w:rPr>
                <w:sz w:val="24"/>
                <w:szCs w:val="24"/>
                <w:color w:val="auto"/>
              </w:rPr>
            </w:pPr>
          </w:p>
        </w:tc>
      </w:tr>
      <w:tr>
        <w:trPr>
          <w:trHeight w:val="189"/>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Joseph A. Onorato</w:t>
            </w:r>
          </w:p>
        </w:tc>
        <w:tc>
          <w:tcPr>
            <w:tcW w:w="20" w:type="dxa"/>
            <w:vAlign w:val="bottom"/>
          </w:tcPr>
          <w:p>
            <w:pPr>
              <w:spacing w:after="0"/>
              <w:rPr>
                <w:sz w:val="16"/>
                <w:szCs w:val="16"/>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c>
          <w:tcPr>
            <w:tcW w:w="20" w:type="dxa"/>
            <w:vAlign w:val="bottom"/>
          </w:tcPr>
          <w:p>
            <w:pPr>
              <w:spacing w:after="0"/>
              <w:rPr>
                <w:sz w:val="16"/>
                <w:szCs w:val="16"/>
                <w:color w:val="auto"/>
              </w:rPr>
            </w:pPr>
          </w:p>
        </w:tc>
      </w:tr>
      <w:tr>
        <w:trPr>
          <w:trHeight w:val="381"/>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23, 2026</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w:t>
            </w:r>
          </w:p>
        </w:tc>
        <w:tc>
          <w:tcPr>
            <w:tcW w:w="3880" w:type="dxa"/>
            <w:vAlign w:val="bottom"/>
            <w:tcBorders>
              <w:bottom w:val="single" w:sz="8" w:color="auto"/>
            </w:tcBorders>
            <w:gridSpan w:val="3"/>
          </w:tcPr>
          <w:p>
            <w:pPr>
              <w:jc w:val="center"/>
              <w:ind w:right="1660"/>
              <w:spacing w:after="0"/>
              <w:rPr>
                <w:sz w:val="20"/>
                <w:szCs w:val="20"/>
                <w:color w:val="auto"/>
              </w:rPr>
            </w:pPr>
            <w:r>
              <w:rPr>
                <w:rFonts w:ascii="Times New Roman" w:cs="Times New Roman" w:eastAsia="Times New Roman" w:hAnsi="Times New Roman"/>
                <w:sz w:val="18"/>
                <w:szCs w:val="18"/>
                <w:color w:val="auto"/>
                <w:w w:val="99"/>
              </w:rPr>
              <w:t>WILLIAM H. RUNGE III</w:t>
            </w:r>
          </w:p>
        </w:tc>
        <w:tc>
          <w:tcPr>
            <w:tcW w:w="20" w:type="dxa"/>
            <w:vAlign w:val="bottom"/>
            <w:tcBorders>
              <w:bottom w:val="single" w:sz="8" w:color="auto"/>
            </w:tcBorders>
          </w:tcPr>
          <w:p>
            <w:pPr>
              <w:spacing w:after="0"/>
              <w:rPr>
                <w:sz w:val="24"/>
                <w:szCs w:val="24"/>
                <w:color w:val="auto"/>
              </w:rPr>
            </w:pPr>
          </w:p>
        </w:tc>
      </w:tr>
      <w:tr>
        <w:trPr>
          <w:trHeight w:val="189"/>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William H. Runge III</w:t>
            </w:r>
          </w:p>
        </w:tc>
        <w:tc>
          <w:tcPr>
            <w:tcW w:w="20" w:type="dxa"/>
            <w:vAlign w:val="bottom"/>
          </w:tcPr>
          <w:p>
            <w:pPr>
              <w:spacing w:after="0"/>
              <w:rPr>
                <w:sz w:val="16"/>
                <w:szCs w:val="16"/>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gridSpan w:val="2"/>
          </w:tcPr>
          <w:p>
            <w:pPr>
              <w:jc w:val="center"/>
              <w:ind w:right="2020"/>
              <w:spacing w:after="0"/>
              <w:rPr>
                <w:sz w:val="20"/>
                <w:szCs w:val="20"/>
                <w:color w:val="auto"/>
              </w:rPr>
            </w:pPr>
            <w:r>
              <w:rPr>
                <w:rFonts w:ascii="Times New Roman" w:cs="Times New Roman" w:eastAsia="Times New Roman" w:hAnsi="Times New Roman"/>
                <w:sz w:val="14"/>
                <w:szCs w:val="14"/>
                <w:b w:val="1"/>
                <w:bCs w:val="1"/>
                <w:i w:val="1"/>
                <w:iCs w:val="1"/>
                <w:color w:val="auto"/>
              </w:rPr>
              <w:t>Director</w:t>
            </w:r>
          </w:p>
        </w:tc>
        <w:tc>
          <w:tcPr>
            <w:tcW w:w="20" w:type="dxa"/>
            <w:vAlign w:val="bottom"/>
          </w:tcPr>
          <w:p>
            <w:pPr>
              <w:spacing w:after="0"/>
              <w:rPr>
                <w:sz w:val="16"/>
                <w:szCs w:val="16"/>
                <w:color w:val="auto"/>
              </w:rPr>
            </w:pPr>
          </w:p>
        </w:tc>
      </w:tr>
      <w:tr>
        <w:trPr>
          <w:trHeight w:val="381"/>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2026</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/s/</w:t>
            </w:r>
          </w:p>
        </w:tc>
        <w:tc>
          <w:tcPr>
            <w:tcW w:w="3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KAREN A. SMITH BOGART</w:t>
            </w:r>
          </w:p>
        </w:tc>
        <w:tc>
          <w:tcPr>
            <w:tcW w:w="20" w:type="dxa"/>
            <w:vAlign w:val="bottom"/>
            <w:tcBorders>
              <w:bottom w:val="single" w:sz="8" w:color="auto"/>
            </w:tcBorders>
          </w:tcPr>
          <w:p>
            <w:pPr>
              <w:spacing w:after="0"/>
              <w:rPr>
                <w:sz w:val="24"/>
                <w:szCs w:val="24"/>
                <w:color w:val="auto"/>
              </w:rPr>
            </w:pPr>
          </w:p>
        </w:tc>
      </w:tr>
      <w:tr>
        <w:trPr>
          <w:trHeight w:val="189"/>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Karen A. Smith Bogart</w:t>
            </w:r>
          </w:p>
        </w:tc>
        <w:tc>
          <w:tcPr>
            <w:tcW w:w="20" w:type="dxa"/>
            <w:vAlign w:val="bottom"/>
          </w:tcPr>
          <w:p>
            <w:pPr>
              <w:spacing w:after="0"/>
              <w:rPr>
                <w:sz w:val="16"/>
                <w:szCs w:val="16"/>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c>
          <w:tcPr>
            <w:tcW w:w="20" w:type="dxa"/>
            <w:vAlign w:val="bottom"/>
          </w:tcPr>
          <w:p>
            <w:pPr>
              <w:spacing w:after="0"/>
              <w:rPr>
                <w:sz w:val="16"/>
                <w:szCs w:val="16"/>
                <w:color w:val="auto"/>
              </w:rPr>
            </w:pPr>
          </w:p>
        </w:tc>
      </w:tr>
      <w:tr>
        <w:trPr>
          <w:trHeight w:val="361"/>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2026</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BERNARD P. THIERS</w:t>
            </w:r>
          </w:p>
        </w:tc>
        <w:tc>
          <w:tcPr>
            <w:tcW w:w="20" w:type="dxa"/>
            <w:vAlign w:val="bottom"/>
            <w:tcBorders>
              <w:bottom w:val="single" w:sz="8" w:color="auto"/>
            </w:tcBorders>
          </w:tcPr>
          <w:p>
            <w:pPr>
              <w:spacing w:after="0"/>
              <w:rPr>
                <w:sz w:val="24"/>
                <w:szCs w:val="24"/>
                <w:color w:val="auto"/>
              </w:rPr>
            </w:pPr>
          </w:p>
        </w:tc>
      </w:tr>
      <w:tr>
        <w:trPr>
          <w:trHeight w:val="183"/>
        </w:trPr>
        <w:tc>
          <w:tcPr>
            <w:tcW w:w="34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60" w:type="dxa"/>
            <w:vAlign w:val="bottom"/>
            <w:gridSpan w:val="2"/>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Bernard P. Thiers</w:t>
            </w:r>
          </w:p>
        </w:tc>
        <w:tc>
          <w:tcPr>
            <w:tcW w:w="20" w:type="dxa"/>
            <w:vAlign w:val="bottom"/>
          </w:tcPr>
          <w:p>
            <w:pPr>
              <w:spacing w:after="0"/>
              <w:rPr>
                <w:sz w:val="15"/>
                <w:szCs w:val="15"/>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c>
          <w:tcPr>
            <w:tcW w:w="20" w:type="dxa"/>
            <w:vAlign w:val="bottom"/>
          </w:tcPr>
          <w:p>
            <w:pPr>
              <w:spacing w:after="0"/>
              <w:rPr>
                <w:sz w:val="16"/>
                <w:szCs w:val="16"/>
                <w:color w:val="auto"/>
              </w:rPr>
            </w:pPr>
          </w:p>
        </w:tc>
      </w:tr>
      <w:tr>
        <w:trPr>
          <w:trHeight w:val="381"/>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2026</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tcBorders>
              <w:bottom w:val="single" w:sz="8" w:color="auto"/>
            </w:tcBorders>
            <w:gridSpan w:val="4"/>
          </w:tcPr>
          <w:p>
            <w:pPr>
              <w:ind w:left="1220"/>
              <w:spacing w:after="0"/>
              <w:rPr>
                <w:sz w:val="20"/>
                <w:szCs w:val="20"/>
                <w:color w:val="auto"/>
              </w:rPr>
            </w:pPr>
            <w:r>
              <w:rPr>
                <w:rFonts w:ascii="Times New Roman" w:cs="Times New Roman" w:eastAsia="Times New Roman" w:hAnsi="Times New Roman"/>
                <w:sz w:val="18"/>
                <w:szCs w:val="18"/>
                <w:color w:val="auto"/>
              </w:rPr>
              <w:t>/s/  W. CHRISTOPHER WELLBORN</w:t>
            </w:r>
          </w:p>
        </w:tc>
        <w:tc>
          <w:tcPr>
            <w:tcW w:w="20" w:type="dxa"/>
            <w:vAlign w:val="bottom"/>
            <w:tcBorders>
              <w:bottom w:val="single" w:sz="8" w:color="auto"/>
            </w:tcBorders>
          </w:tcPr>
          <w:p>
            <w:pPr>
              <w:spacing w:after="0"/>
              <w:rPr>
                <w:sz w:val="24"/>
                <w:szCs w:val="24"/>
                <w:color w:val="auto"/>
              </w:rPr>
            </w:pPr>
          </w:p>
        </w:tc>
      </w:tr>
      <w:tr>
        <w:trPr>
          <w:trHeight w:val="189"/>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W. Christopher Wellborn</w:t>
            </w:r>
          </w:p>
        </w:tc>
        <w:tc>
          <w:tcPr>
            <w:tcW w:w="20" w:type="dxa"/>
            <w:vAlign w:val="bottom"/>
          </w:tcPr>
          <w:p>
            <w:pPr>
              <w:spacing w:after="0"/>
              <w:rPr>
                <w:sz w:val="16"/>
                <w:szCs w:val="16"/>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c>
          <w:tcPr>
            <w:tcW w:w="20" w:type="dxa"/>
            <w:vAlign w:val="bottom"/>
          </w:tcPr>
          <w:p>
            <w:pPr>
              <w:spacing w:after="0"/>
              <w:rPr>
                <w:sz w:val="16"/>
                <w:szCs w:val="16"/>
                <w:color w:val="auto"/>
              </w:rPr>
            </w:pPr>
          </w:p>
        </w:tc>
      </w:tr>
      <w:tr>
        <w:trPr>
          <w:trHeight w:val="888"/>
        </w:trPr>
        <w:tc>
          <w:tcPr>
            <w:tcW w:w="3440" w:type="dxa"/>
            <w:vAlign w:val="bottom"/>
          </w:tcPr>
          <w:p>
            <w:pPr>
              <w:spacing w:after="0"/>
              <w:rPr>
                <w:sz w:val="24"/>
                <w:szCs w:val="24"/>
                <w:color w:val="auto"/>
              </w:rPr>
            </w:pPr>
          </w:p>
        </w:tc>
        <w:tc>
          <w:tcPr>
            <w:tcW w:w="3860" w:type="dxa"/>
            <w:vAlign w:val="bottom"/>
            <w:gridSpan w:val="4"/>
          </w:tcPr>
          <w:p>
            <w:pPr>
              <w:jc w:val="right"/>
              <w:ind w:right="1510"/>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91" w:name="page92"/>
    <w:bookmarkEnd w:id="91"/>
    <w:p>
      <w:pPr>
        <w:spacing w:after="0" w:line="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Exhibit 21</w:t>
      </w:r>
    </w:p>
    <w:p>
      <w:pPr>
        <w:spacing w:after="0" w:line="25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66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Subsidiary Name</w:t>
            </w:r>
          </w:p>
        </w:tc>
        <w:tc>
          <w:tcPr>
            <w:tcW w:w="37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A&amp;S Energie NV</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A&amp;U Energie NV</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Aladdin Manufacturing Corporation</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Aladdin Manufacturing of Alabama, LLC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AL</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Aladdin Manufacturing of New York, LLC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Berghoef-Hout B.V.</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BGE Mexico, S. de R. L. de C.V.</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Bienes Raices y Materiales del Centro, S. de R.L. de C.V.</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Cevotrans BV</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 Italia LLC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Dal-Elit, LLC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TX</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Dal-Tile Administración, S. de R.L. de C.V.</w:t>
            </w:r>
          </w:p>
        </w:tc>
        <w:tc>
          <w:tcPr>
            <w:tcW w:w="376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Dal-Tile, LLC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Dal-Tile Countertops, LLC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Dal-Tile Distribution, LLC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Dal-Tile Group Inc.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Dal-Tile I, LLC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Dal-Tile International Inc.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Dal-Tile Mexico Comercial S. de R.L. de C.V.</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Dal-Tile Mexico, S. de R.L. de C.V.</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Dal-Tile of Canada ULC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BC, Canada</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Dal-Tile Puerto Rico, Inc.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Puerto Rico</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Dal-Tile Services, Inc.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Dal-Tile Shared Services, Inc.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Dal-Tile Tennessee, LLC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DT Mex Holdings, LLC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DTM/CM Holdings, LLC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Eliane Ceramic Tiles (U.S.A.), Inc.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TX</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Elizabeth Administração e Participação Ltda</w:t>
            </w:r>
          </w:p>
        </w:tc>
        <w:tc>
          <w:tcPr>
            <w:tcW w:w="376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Emil Group Asia Limited</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Emil Russia OOO</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Emilamerica, Inc.</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Emilceramica India Pvt Ltd.</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Emilceramica S.r.l</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F.I.L.S. Investments Unlimited Company</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Feltex Carpets Ltd</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Feltex Carpets Pty Ltd</w:t>
            </w:r>
          </w:p>
        </w:tc>
        <w:tc>
          <w:tcPr>
            <w:tcW w:w="376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60" w:type="dxa"/>
            <w:vAlign w:val="bottom"/>
            <w:tcBorders>
              <w:bottom w:val="single" w:sz="8" w:color="00000A"/>
              <w:right w:val="single" w:sz="8" w:color="00000A"/>
            </w:tcBorders>
          </w:tcPr>
          <w:p>
            <w:pPr>
              <w:spacing w:after="0"/>
              <w:rPr>
                <w:sz w:val="3"/>
                <w:szCs w:val="3"/>
                <w:color w:val="auto"/>
              </w:rPr>
            </w:pPr>
          </w:p>
        </w:tc>
      </w:tr>
    </w:tbl>
    <w:p>
      <w:pPr>
        <w:sectPr>
          <w:pgSz w:w="11900" w:h="16838" w:orient="portrait"/>
          <w:cols w:equalWidth="0" w:num="1">
            <w:col w:w="10360"/>
          </w:cols>
          <w:pgMar w:left="580" w:top="1440" w:right="959" w:bottom="1440" w:gutter="0" w:footer="0" w:header="0"/>
        </w:sectPr>
      </w:pPr>
    </w:p>
    <w:bookmarkStart w:id="92" w:name="page93"/>
    <w:bookmarkEnd w:id="9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6620" w:type="dxa"/>
            <w:vAlign w:val="bottom"/>
            <w:tcBorders>
              <w:top w:val="single" w:sz="8" w:color="00000A"/>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Feltex New Zealand Ltd</w:t>
            </w:r>
          </w:p>
        </w:tc>
        <w:tc>
          <w:tcPr>
            <w:tcW w:w="3740" w:type="dxa"/>
            <w:vAlign w:val="bottom"/>
            <w:tcBorders>
              <w:top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Flooring Foundation Ltd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Flooring XL B.V.</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Floorscape Limited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Foss Holdings, LLC</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NV</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Foss Manufacturing Company, LLC</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NV</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Godfrey Hirst &amp; Co Pty Ltd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Godfrey Hirst Australia Pty Ltd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Godfrey Hirst Logistics Pty Ltd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Godfrey Hirst NZ Ltd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Hero Flooring, LLC</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18"/>
                <w:szCs w:val="18"/>
                <w:color w:val="auto"/>
              </w:rPr>
              <w:t>DE</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International Flooring Systems S.à 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International Vinyl Company - Vostok OOO</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IVC BV</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IVC France S.à 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IVC Green Power BV</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IVC Group Limited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IVC Luxembourg S.à 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IVC Rus OOO</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IVC US, LLC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GA</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KAI Keramica Ltd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Greece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KAI Mining EOOD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Bulgaria</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Kerama Marazzi OOO</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Khan Asparuh - Transport EOOD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Bulgaria</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Khan Asparuh AD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Bulgaria</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Khan Omurtag AD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Bulgaria</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Kerama Information Technology OOO</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Management Co EAD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Bulgaria</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Manufacturas Vitromex, S.A. de C.V.</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Marazzi Acquisition S.r.l.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Marazzi Deutschland G.m.b.H.</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Marazzi France Trading S.A.S.</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Marazzi Group S.r.l.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Marazzi Group Trading (Shanghai) Co. Ltd.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Marazzi Iberia S.L.U.</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Marazzi Japan Co., Ltd.</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Marazzi Middle East FZ LLC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Dubai</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Marazzi Poland sp. z o.o.</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18"/>
                <w:szCs w:val="18"/>
                <w:color w:val="auto"/>
              </w:rPr>
              <w:t>Poland</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Marazzi Schweiz S.A.G.L.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Marazzi UK Ltd.</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MI Finance SRL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Barbados</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Assurance Services, Inc.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GA</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Canada Corporation</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NS, Canada</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Capital Finance S.A.</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Capital Luxembourg SA</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bl>
    <w:p>
      <w:pPr>
        <w:sectPr>
          <w:pgSz w:w="11900" w:h="16838" w:orient="portrait"/>
          <w:cols w:equalWidth="0" w:num="1">
            <w:col w:w="10360"/>
          </w:cols>
          <w:pgMar w:left="580" w:top="1440" w:right="959" w:bottom="1149" w:gutter="0" w:footer="0" w:header="0"/>
        </w:sectPr>
      </w:pPr>
    </w:p>
    <w:bookmarkStart w:id="93" w:name="page94"/>
    <w:bookmarkEnd w:id="9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6620" w:type="dxa"/>
            <w:vAlign w:val="bottom"/>
            <w:tcBorders>
              <w:top w:val="single" w:sz="8" w:color="00000A"/>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Carpet Distribution, LLC</w:t>
            </w:r>
          </w:p>
        </w:tc>
        <w:tc>
          <w:tcPr>
            <w:tcW w:w="3740" w:type="dxa"/>
            <w:vAlign w:val="bottom"/>
            <w:tcBorders>
              <w:top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Carpet Transportation of Georgia, LLC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Carpet, LLC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Commercial, Inc.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ESV, Inc.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Factoring II, LLC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Factoring, LLC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Financing Group S.à 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Flooring Asia Trading Pte. Ltd.</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Flooring Investments, LLC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Global Financing S.à 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Global Holdings S.à 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Global Investments S.à 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International (Europe) S.à 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International (Hong Kong) Limited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International Financing S.à 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International Holdings (DE), LLC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International Holdings S.à 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International Services BV</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Investment Company, LLC</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18"/>
                <w:szCs w:val="18"/>
                <w:color w:val="auto"/>
              </w:rPr>
              <w:t>MO</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Luxembourg Pacific S.à 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Malta Ltd.</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Malta</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Malta Parent Ltd.</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Malta</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Marazzi Holding BV</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Marazzi International BV</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Mineração Pedra Lavrada Ltda</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Netherlands Financing BV</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18"/>
                <w:szCs w:val="18"/>
                <w:color w:val="auto"/>
              </w:rPr>
              <w:t>Netherland</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Operaciones Mexicali S. de R.L. de C.V.</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Operations Luxembourg S.à 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Overseas Holdings, LLC</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Partnership Holding, Inc.</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Partnerships (Europe) S.C.S.</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Resources, LLC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Revestimentos Bahia Ltda</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Revestimentos Cocal do Sul Ltda</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Revestimentos Criciúma Ltda</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Revestimentos Paraíba Ltda</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Revestimentos Rio Grande Do Norte Ltda</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Schweiz GmbH</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Trading (Shanghai) Co., Ltd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Turkey Halı ve Kilim Ticaret Limited Şirketi</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Turkey</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Mohawk United International B.V.</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Molber Beheer B.V.</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Monarch Ceramic Tile, LLC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TX</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Orelshtamp OOO</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bl>
    <w:p>
      <w:pPr>
        <w:sectPr>
          <w:pgSz w:w="11900" w:h="16838" w:orient="portrait"/>
          <w:cols w:equalWidth="0" w:num="1">
            <w:col w:w="10360"/>
          </w:cols>
          <w:pgMar w:left="580" w:top="1440" w:right="959" w:bottom="1440" w:gutter="0" w:footer="0" w:header="0"/>
        </w:sectPr>
      </w:pPr>
    </w:p>
    <w:bookmarkStart w:id="94" w:name="page95"/>
    <w:bookmarkEnd w:id="9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6620" w:type="dxa"/>
            <w:vAlign w:val="bottom"/>
            <w:tcBorders>
              <w:top w:val="single" w:sz="8" w:color="00000A"/>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Otto Schneider GmbH</w:t>
            </w:r>
          </w:p>
        </w:tc>
        <w:tc>
          <w:tcPr>
            <w:tcW w:w="3740" w:type="dxa"/>
            <w:vAlign w:val="bottom"/>
            <w:tcBorders>
              <w:top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Panneaux de Correze SAS</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Pergo Holding BV</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Pergo India Pvt Ltd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Premium Floors Australia Pty Limited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RR Apex, LLC</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S.C. KAI Ceramics SRL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Romania</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Stroytrans OAO Orelstroy</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Tiles Co EOOD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Bulgaria</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(Malaysia) Sdn. Bhd.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Malaysia</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Beheer BV</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BV</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Czechia s.r.o.</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Czech Republic</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Denmark ApS</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Denmark</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Distribution Ukraine LLC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Ukraine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do Brasil Revestimentos Ltda.</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Finland OY</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Finland</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Flooring Deutschland GmbH</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Flooring India Private Limited</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Flooring Ireland Limited</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Flooring Nederland B.V.</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Flooring Polska sp. z o.o.</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Flooring Romania S.R.L.</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Romania</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Flooring SAS</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Flooring UK Limited</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GmbH</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Holding BV</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Insulation BV</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Insulation Feluy Srl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Insulation Ireland Limited</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Insulation Polska sp. z o.o.</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Insulation SAS</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Insulation Sury SAS</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Insulation UK Limited</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Italia S.R.L.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Japan G.K.</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Nordic AB</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Sweden</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North America, LLC</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Norway AS</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Norway</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OOO</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35"/>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Panels SAS</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Resins BV</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SAS</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Slovakia s.r.o</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Slovakia</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6"/>
        </w:trPr>
        <w:tc>
          <w:tcPr>
            <w:tcW w:w="66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Spain SL</w:t>
            </w:r>
          </w:p>
        </w:tc>
        <w:tc>
          <w:tcPr>
            <w:tcW w:w="374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bl>
    <w:p>
      <w:pPr>
        <w:sectPr>
          <w:pgSz w:w="11900" w:h="16838" w:orient="portrait"/>
          <w:cols w:equalWidth="0" w:num="1">
            <w:col w:w="10360"/>
          </w:cols>
          <w:pgMar w:left="580" w:top="1440" w:right="959" w:bottom="1440" w:gutter="0" w:footer="0" w:header="0"/>
        </w:sectPr>
      </w:pPr>
    </w:p>
    <w:bookmarkStart w:id="95" w:name="page96"/>
    <w:bookmarkEnd w:id="95"/>
    <w:p>
      <w:pPr>
        <w:spacing w:after="0" w:line="3" w:lineRule="exact"/>
        <w:rPr>
          <w:sz w:val="20"/>
          <w:szCs w:val="20"/>
          <w:color w:val="auto"/>
        </w:rPr>
      </w:pPr>
    </w:p>
    <w:tbl>
      <w:tblPr>
        <w:tblLayout w:type="fixed"/>
        <w:tblInd w:w="270" w:type="dxa"/>
        <w:tblCellMar>
          <w:top w:w="0" w:type="dxa"/>
          <w:left w:w="0" w:type="dxa"/>
          <w:bottom w:w="0" w:type="dxa"/>
          <w:right w:w="0" w:type="dxa"/>
        </w:tblCellMar>
      </w:tblPr>
      <w:tr>
        <w:trPr>
          <w:trHeight w:val="276"/>
        </w:trPr>
        <w:tc>
          <w:tcPr>
            <w:tcW w:w="6620" w:type="dxa"/>
            <w:vAlign w:val="bottom"/>
            <w:tcBorders>
              <w:top w:val="single" w:sz="8" w:color="00000A"/>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Unilin Swiss GmbH</w:t>
            </w:r>
          </w:p>
        </w:tc>
        <w:tc>
          <w:tcPr>
            <w:tcW w:w="3740" w:type="dxa"/>
            <w:vAlign w:val="bottom"/>
            <w:tcBorders>
              <w:top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34"/>
        </w:trPr>
        <w:tc>
          <w:tcPr>
            <w:tcW w:w="6620" w:type="dxa"/>
            <w:vAlign w:val="bottom"/>
            <w:tcBorders>
              <w:left w:val="single" w:sz="8" w:color="00000A"/>
              <w:bottom w:val="single" w:sz="8" w:color="00000A"/>
              <w:right w:val="single" w:sz="8" w:color="00000A"/>
            </w:tcBorders>
          </w:tcPr>
          <w:p>
            <w:pPr>
              <w:spacing w:after="0"/>
              <w:rPr>
                <w:sz w:val="3"/>
                <w:szCs w:val="3"/>
                <w:color w:val="auto"/>
              </w:rPr>
            </w:pPr>
          </w:p>
        </w:tc>
        <w:tc>
          <w:tcPr>
            <w:tcW w:w="3740" w:type="dxa"/>
            <w:vAlign w:val="bottom"/>
            <w:tcBorders>
              <w:bottom w:val="single" w:sz="8" w:color="00000A"/>
              <w:right w:val="single" w:sz="8" w:color="00000A"/>
            </w:tcBorders>
          </w:tcPr>
          <w:p>
            <w:pPr>
              <w:spacing w:after="0"/>
              <w:rPr>
                <w:sz w:val="3"/>
                <w:szCs w:val="3"/>
                <w:color w:val="auto"/>
              </w:rPr>
            </w:pP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Vitromex U.S.A., LLC</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VPI Corporation</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WI</w:t>
            </w:r>
          </w:p>
        </w:tc>
      </w:tr>
      <w:tr>
        <w:trPr>
          <w:trHeight w:val="250"/>
        </w:trPr>
        <w:tc>
          <w:tcPr>
            <w:tcW w:w="66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WC Foss Investment II, Inc.</w:t>
            </w:r>
          </w:p>
        </w:tc>
        <w:tc>
          <w:tcPr>
            <w:tcW w:w="374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subsidiaries are omitted pursuant to Item 601(b)(21)(ii) of Regulation S-K.</w:t>
      </w:r>
    </w:p>
    <w:p>
      <w:pPr>
        <w:sectPr>
          <w:pgSz w:w="11900" w:h="16838" w:orient="portrait"/>
          <w:cols w:equalWidth="0" w:num="1">
            <w:col w:w="10620"/>
          </w:cols>
          <w:pgMar w:left="320" w:top="1440" w:right="95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ISSUERS OF GUARANTEED SECURITIES</w:t>
      </w:r>
    </w:p>
    <w:p>
      <w:pPr>
        <w:spacing w:after="0" w:line="287" w:lineRule="exact"/>
        <w:rPr>
          <w:sz w:val="20"/>
          <w:szCs w:val="20"/>
          <w:color w:val="auto"/>
        </w:rPr>
      </w:pPr>
    </w:p>
    <w:p>
      <w:pPr>
        <w:ind w:right="340"/>
        <w:spacing w:after="0" w:line="309" w:lineRule="auto"/>
        <w:rPr>
          <w:sz w:val="20"/>
          <w:szCs w:val="20"/>
          <w:color w:val="auto"/>
        </w:rPr>
      </w:pPr>
      <w:r>
        <w:rPr>
          <w:rFonts w:ascii="Times New Roman" w:cs="Times New Roman" w:eastAsia="Times New Roman" w:hAnsi="Times New Roman"/>
          <w:sz w:val="22"/>
          <w:szCs w:val="22"/>
          <w:color w:val="auto"/>
        </w:rPr>
        <w:t>Mohawk Capital Finance S.A., a 100% wholly-owned subsidiary of Mohawk Industries, Inc. (the “Company”), has issued the debt securities listed below that are fully and unconditionally guaranteed by the Company.</w:t>
      </w:r>
    </w:p>
    <w:p>
      <w:pPr>
        <w:spacing w:after="0" w:line="19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1.750% Senior Notes due 2027</w:t>
      </w:r>
    </w:p>
    <w:p>
      <w:pPr>
        <w:spacing w:after="0" w:line="287" w:lineRule="exact"/>
        <w:rPr>
          <w:sz w:val="20"/>
          <w:szCs w:val="20"/>
          <w:color w:val="auto"/>
        </w:rPr>
      </w:pPr>
    </w:p>
    <w:p>
      <w:pPr>
        <w:ind w:right="880"/>
        <w:spacing w:after="0" w:line="309" w:lineRule="auto"/>
        <w:rPr>
          <w:sz w:val="20"/>
          <w:szCs w:val="20"/>
          <w:color w:val="auto"/>
        </w:rPr>
      </w:pPr>
      <w:r>
        <w:rPr>
          <w:rFonts w:ascii="Times New Roman" w:cs="Times New Roman" w:eastAsia="Times New Roman" w:hAnsi="Times New Roman"/>
          <w:sz w:val="22"/>
          <w:szCs w:val="22"/>
          <w:color w:val="auto"/>
        </w:rPr>
        <w:t>From time to time, Mohawk Capital Finance S.A. may issue additional debt securities that are fully and unconditionally guaranteed by the Company.</w:t>
      </w:r>
    </w:p>
    <w:p>
      <w:pPr>
        <w:sectPr>
          <w:pgSz w:w="11900" w:h="16838" w:orient="portrait"/>
          <w:cols w:equalWidth="0" w:num="1">
            <w:col w:w="11240"/>
          </w:cols>
          <w:pgMar w:left="320" w:top="142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333-271495) on Form S-3 and (Nos. 333-219717, 333-181363, 333-213078, and 333-249879) on Form S-8, of our reports dated February 23, 2026, with respect to the consolidated financial statements of Mohawk Industries,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ectPr>
          <w:pgSz w:w="11900" w:h="16838" w:orient="portrait"/>
          <w:cols w:equalWidth="0" w:num="1">
            <w:col w:w="11240"/>
          </w:cols>
          <w:pgMar w:left="320" w:top="11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S. Lorberbaum, certify that:</w:t>
      </w:r>
    </w:p>
    <w:p>
      <w:pPr>
        <w:spacing w:after="0" w:line="225" w:lineRule="exact"/>
        <w:rPr>
          <w:sz w:val="20"/>
          <w:szCs w:val="20"/>
          <w:color w:val="auto"/>
        </w:rPr>
      </w:pPr>
    </w:p>
    <w:p>
      <w:pPr>
        <w:ind w:left="760" w:hanging="73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Mohawk Industries, Inc.;</w:t>
      </w:r>
    </w:p>
    <w:p>
      <w:pPr>
        <w:spacing w:after="0" w:line="27" w:lineRule="exact"/>
        <w:rPr>
          <w:sz w:val="20"/>
          <w:szCs w:val="20"/>
          <w:color w:val="auto"/>
        </w:rPr>
      </w:pPr>
    </w:p>
    <w:p>
      <w:pPr>
        <w:ind w:left="760" w:right="80" w:hanging="734"/>
        <w:spacing w:after="0" w:line="229"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sz w:val="20"/>
          <w:szCs w:val="20"/>
          <w:color w:val="auto"/>
        </w:rPr>
      </w:pPr>
    </w:p>
    <w:p>
      <w:pPr>
        <w:ind w:left="760" w:right="240" w:hanging="734"/>
        <w:spacing w:after="0" w:line="234"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sz w:val="20"/>
          <w:szCs w:val="20"/>
          <w:color w:val="auto"/>
        </w:rPr>
      </w:pPr>
    </w:p>
    <w:p>
      <w:pPr>
        <w:ind w:left="760" w:right="220" w:hanging="734"/>
        <w:spacing w:after="0" w:line="236" w:lineRule="auto"/>
        <w:tabs>
          <w:tab w:leader="none" w:pos="7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 w:lineRule="exact"/>
        <w:rPr>
          <w:rFonts w:ascii="Times New Roman" w:cs="Times New Roman" w:eastAsia="Times New Roman" w:hAnsi="Times New Roman"/>
          <w:sz w:val="17"/>
          <w:szCs w:val="17"/>
          <w:color w:val="auto"/>
        </w:rPr>
      </w:pPr>
    </w:p>
    <w:p>
      <w:pPr>
        <w:ind w:left="760" w:right="280" w:hanging="410"/>
        <w:spacing w:after="0" w:line="229"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760" w:right="600" w:hanging="410"/>
        <w:spacing w:after="0" w:line="229"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760" w:right="760" w:hanging="410"/>
        <w:spacing w:after="0" w:line="253" w:lineRule="auto"/>
        <w:tabs>
          <w:tab w:leader="none" w:pos="7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760" w:right="280" w:hanging="410"/>
        <w:spacing w:after="0" w:line="231"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760" w:right="180" w:hanging="734"/>
        <w:spacing w:after="0" w:line="234"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Times New Roman" w:cs="Times New Roman" w:eastAsia="Times New Roman" w:hAnsi="Times New Roman"/>
          <w:sz w:val="18"/>
          <w:szCs w:val="18"/>
          <w:color w:val="auto"/>
        </w:rPr>
      </w:pPr>
    </w:p>
    <w:p>
      <w:pPr>
        <w:ind w:left="760" w:right="180" w:hanging="410"/>
        <w:spacing w:after="0" w:line="237" w:lineRule="auto"/>
        <w:tabs>
          <w:tab w:leader="none" w:pos="7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760" w:right="140" w:hanging="410"/>
        <w:spacing w:after="0" w:line="237" w:lineRule="auto"/>
        <w:tabs>
          <w:tab w:leader="none" w:pos="7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2026</w:t>
      </w:r>
    </w:p>
    <w:p>
      <w:pPr>
        <w:spacing w:after="0" w:line="1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 Jeffrey S. Lorberbaum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2" w:lineRule="exact"/>
        <w:rPr>
          <w:sz w:val="20"/>
          <w:szCs w:val="20"/>
          <w:color w:val="auto"/>
        </w:rPr>
      </w:pPr>
    </w:p>
    <w:p>
      <w:pPr>
        <w:jc w:val="center"/>
        <w:ind w:right="7160"/>
        <w:spacing w:after="0"/>
        <w:rPr>
          <w:sz w:val="20"/>
          <w:szCs w:val="20"/>
          <w:color w:val="auto"/>
        </w:rPr>
      </w:pPr>
      <w:r>
        <w:rPr>
          <w:rFonts w:ascii="Times New Roman" w:cs="Times New Roman" w:eastAsia="Times New Roman" w:hAnsi="Times New Roman"/>
          <w:sz w:val="18"/>
          <w:szCs w:val="18"/>
          <w:b w:val="1"/>
          <w:bCs w:val="1"/>
          <w:color w:val="auto"/>
        </w:rPr>
        <w:t>Jeffrey S. Lorberbaum</w:t>
      </w:r>
    </w:p>
    <w:p>
      <w:pPr>
        <w:spacing w:after="0" w:line="31" w:lineRule="exact"/>
        <w:rPr>
          <w:sz w:val="20"/>
          <w:szCs w:val="20"/>
          <w:color w:val="auto"/>
        </w:rPr>
      </w:pPr>
    </w:p>
    <w:p>
      <w:pPr>
        <w:jc w:val="center"/>
        <w:ind w:right="71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88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F. Brunk, certify that:</w:t>
      </w:r>
    </w:p>
    <w:p>
      <w:pPr>
        <w:spacing w:after="0" w:line="225" w:lineRule="exact"/>
        <w:rPr>
          <w:sz w:val="20"/>
          <w:szCs w:val="20"/>
          <w:color w:val="auto"/>
        </w:rPr>
      </w:pPr>
    </w:p>
    <w:p>
      <w:pPr>
        <w:ind w:left="760" w:hanging="734"/>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Mohawk Industries, Inc.;</w:t>
      </w:r>
    </w:p>
    <w:p>
      <w:pPr>
        <w:spacing w:after="0" w:line="27" w:lineRule="exact"/>
        <w:rPr>
          <w:sz w:val="20"/>
          <w:szCs w:val="20"/>
          <w:color w:val="auto"/>
        </w:rPr>
      </w:pPr>
    </w:p>
    <w:p>
      <w:pPr>
        <w:ind w:left="760" w:right="80" w:hanging="734"/>
        <w:spacing w:after="0" w:line="229"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sz w:val="20"/>
          <w:szCs w:val="20"/>
          <w:color w:val="auto"/>
        </w:rPr>
      </w:pPr>
    </w:p>
    <w:p>
      <w:pPr>
        <w:ind w:left="760" w:right="240" w:hanging="734"/>
        <w:spacing w:after="0" w:line="234"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sz w:val="20"/>
          <w:szCs w:val="20"/>
          <w:color w:val="auto"/>
        </w:rPr>
      </w:pPr>
    </w:p>
    <w:p>
      <w:pPr>
        <w:ind w:left="760" w:right="220" w:hanging="734"/>
        <w:spacing w:after="0" w:line="236" w:lineRule="auto"/>
        <w:tabs>
          <w:tab w:leader="none" w:pos="7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 w:lineRule="exact"/>
        <w:rPr>
          <w:rFonts w:ascii="Times New Roman" w:cs="Times New Roman" w:eastAsia="Times New Roman" w:hAnsi="Times New Roman"/>
          <w:sz w:val="17"/>
          <w:szCs w:val="17"/>
          <w:color w:val="auto"/>
        </w:rPr>
      </w:pPr>
    </w:p>
    <w:p>
      <w:pPr>
        <w:ind w:left="760" w:right="280" w:hanging="410"/>
        <w:spacing w:after="0" w:line="229"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760" w:right="600" w:hanging="410"/>
        <w:spacing w:after="0" w:line="229"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760" w:right="760" w:hanging="410"/>
        <w:spacing w:after="0" w:line="253" w:lineRule="auto"/>
        <w:tabs>
          <w:tab w:leader="none" w:pos="76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760" w:right="280" w:hanging="410"/>
        <w:spacing w:after="0" w:line="231"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760" w:right="180" w:hanging="734"/>
        <w:spacing w:after="0" w:line="234"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Times New Roman" w:cs="Times New Roman" w:eastAsia="Times New Roman" w:hAnsi="Times New Roman"/>
          <w:sz w:val="18"/>
          <w:szCs w:val="18"/>
          <w:color w:val="auto"/>
        </w:rPr>
      </w:pPr>
    </w:p>
    <w:p>
      <w:pPr>
        <w:ind w:left="760" w:right="180" w:hanging="410"/>
        <w:spacing w:after="0" w:line="237" w:lineRule="auto"/>
        <w:tabs>
          <w:tab w:leader="none" w:pos="7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760" w:right="140" w:hanging="410"/>
        <w:spacing w:after="0" w:line="237" w:lineRule="auto"/>
        <w:tabs>
          <w:tab w:leader="none" w:pos="7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2026</w:t>
      </w:r>
    </w:p>
    <w:p>
      <w:pPr>
        <w:spacing w:after="0" w:line="1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James F. Brunk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2" w:lineRule="exact"/>
        <w:rPr>
          <w:sz w:val="20"/>
          <w:szCs w:val="20"/>
          <w:color w:val="auto"/>
        </w:rPr>
      </w:pPr>
    </w:p>
    <w:p>
      <w:pPr>
        <w:jc w:val="center"/>
        <w:ind w:right="7160"/>
        <w:spacing w:after="0"/>
        <w:rPr>
          <w:sz w:val="20"/>
          <w:szCs w:val="20"/>
          <w:color w:val="auto"/>
        </w:rPr>
      </w:pPr>
      <w:r>
        <w:rPr>
          <w:rFonts w:ascii="Times New Roman" w:cs="Times New Roman" w:eastAsia="Times New Roman" w:hAnsi="Times New Roman"/>
          <w:sz w:val="18"/>
          <w:szCs w:val="18"/>
          <w:b w:val="1"/>
          <w:bCs w:val="1"/>
          <w:color w:val="auto"/>
        </w:rPr>
        <w:t>James F. Brunk</w:t>
      </w:r>
    </w:p>
    <w:p>
      <w:pPr>
        <w:spacing w:after="0" w:line="31" w:lineRule="exact"/>
        <w:rPr>
          <w:sz w:val="20"/>
          <w:szCs w:val="20"/>
          <w:color w:val="auto"/>
        </w:rPr>
      </w:pPr>
    </w:p>
    <w:p>
      <w:pPr>
        <w:jc w:val="center"/>
        <w:ind w:right="71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88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MOHAWK INDUSTRIES,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906 of the Sarbanes-Oxley Act of 2002</w:t>
      </w:r>
    </w:p>
    <w:p>
      <w:pPr>
        <w:spacing w:after="0" w:line="153" w:lineRule="exact"/>
        <w:rPr>
          <w:sz w:val="20"/>
          <w:szCs w:val="20"/>
          <w:color w:val="auto"/>
        </w:rPr>
      </w:pPr>
    </w:p>
    <w:p>
      <w:pPr>
        <w:jc w:val="both"/>
        <w:ind w:right="26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Mohawk Industries, Inc. (the “Company”) on Form 10-K for the period ended December 31, 2025 as filed with the Securities and Exchange Commission on the date hereof (the “Report”), I, Jeffrey S. Lorberbaum, Chairman and Chief Executive Officer of the Company, certify, pursuant to 18 U.S.C. § 1350, as adopted pursuant to § 906 of the Sarbanes-Oxley Act of 2002, that, based on my knowledge:</w:t>
      </w:r>
    </w:p>
    <w:p>
      <w:pPr>
        <w:spacing w:after="0" w:line="216" w:lineRule="exact"/>
        <w:rPr>
          <w:sz w:val="20"/>
          <w:szCs w:val="20"/>
          <w:color w:val="auto"/>
        </w:rPr>
      </w:pPr>
    </w:p>
    <w:p>
      <w:pPr>
        <w:ind w:left="1440" w:hanging="402"/>
        <w:spacing w:after="0"/>
        <w:tabs>
          <w:tab w:leader="none" w:pos="1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6" w:lineRule="exact"/>
        <w:rPr>
          <w:sz w:val="20"/>
          <w:szCs w:val="20"/>
          <w:color w:val="auto"/>
        </w:rPr>
      </w:pPr>
    </w:p>
    <w:p>
      <w:pPr>
        <w:ind w:left="1440" w:right="1400" w:hanging="402"/>
        <w:spacing w:after="0" w:line="237" w:lineRule="auto"/>
        <w:tabs>
          <w:tab w:leader="none" w:pos="1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 Jeffrey S. Lorberbaum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Jeffrey S. Lorberbaum</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ectPr>
          <w:pgSz w:w="11900" w:h="16838" w:orient="portrait"/>
          <w:cols w:equalWidth="0" w:num="1">
            <w:col w:w="11240"/>
          </w:cols>
          <w:pgMar w:left="320" w:top="88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MOHAWK INDUSTRIES,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906 of the Sarbanes-Oxley Act of 2002</w:t>
      </w:r>
    </w:p>
    <w:p>
      <w:pPr>
        <w:spacing w:after="0" w:line="153"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Mohawk Industries, Inc. (the “Company”) on Form 10-K for the period ended December 31, 2025 as filed with the Securities and Exchange Commission on the date hereof (the “Report”), I, James F. Brunk, Chief Financial Officer of the Company, certify, pursuant to 18 U.S.C. § 1350, as adopted pursuant to § 906 of the Sarbanes-Oxley Act of 2002, that, based on my knowledge:</w:t>
      </w:r>
    </w:p>
    <w:p>
      <w:pPr>
        <w:spacing w:after="0" w:line="216" w:lineRule="exact"/>
        <w:rPr>
          <w:sz w:val="20"/>
          <w:szCs w:val="20"/>
          <w:color w:val="auto"/>
        </w:rPr>
      </w:pPr>
    </w:p>
    <w:p>
      <w:pPr>
        <w:ind w:left="1440" w:hanging="402"/>
        <w:spacing w:after="0"/>
        <w:tabs>
          <w:tab w:leader="none" w:pos="14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6" w:lineRule="exact"/>
        <w:rPr>
          <w:sz w:val="20"/>
          <w:szCs w:val="20"/>
          <w:color w:val="auto"/>
        </w:rPr>
      </w:pPr>
    </w:p>
    <w:p>
      <w:pPr>
        <w:ind w:left="1440" w:right="1400" w:hanging="402"/>
        <w:spacing w:after="0" w:line="237" w:lineRule="auto"/>
        <w:tabs>
          <w:tab w:leader="none" w:pos="1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James F. Brunk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James F. Brunk</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ectPr>
          <w:pgSz w:w="11900" w:h="16838" w:orient="portrait"/>
          <w:cols w:equalWidth="0" w:num="1">
            <w:col w:w="11240"/>
          </w:cols>
          <w:pgMar w:left="320" w:top="88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95.1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6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following disclosures are provided pursuant to Section 1503(a) of the Dodd-Frank Wall Street Reform and Consumer Protection Act (the “Act”) and Item 104 of Regulation S-K, which requires certain disclosures by companies required to file periodic reports under the Securities Exchange Act of 1934, as amended, that operate mines regulated under the Federal Mine Safety and Health Act of 1977 (the “Mine Act”).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Mine Safety Information</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Whenever the Federal Mine Safety and Health Administration (“MSHA”) believes a violation of the Mine Act, any health or safety standard or any regulation has occurred, it may issue a citation which describes the alleged violation and fixes a time within which the U.S. mining operator must abate the alleged violation. In some situations, such as when MSHA believes that conditions pose a hazard to miners, MSHA may issue an order removing miners from the area of the mine affected by the condition until the alleged hazards are corrected. When MSHA issues a citation or order, it generally proposes a civil penalty, or fine, as a result of the alleged violation, that the operator is ordered to pay. Citations and orders can be contested and appealed, and as part of that process, may be reduced in severity and amount, and are sometimes dismissed. The number of citations, orders and proposed assessments vary depending on the size and type (underground or surface) of the mine as well as by the MSHA inspector(s) assigned.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includes information required by the Act for the twelve months ended December 31, 2025.</w:t>
      </w:r>
    </w:p>
    <w:p>
      <w:pPr>
        <w:spacing w:after="0" w:line="26" w:lineRule="exact"/>
        <w:rPr>
          <w:sz w:val="20"/>
          <w:szCs w:val="20"/>
          <w:color w:val="auto"/>
        </w:rPr>
      </w:pPr>
    </w:p>
    <w:tbl>
      <w:tblPr>
        <w:tblLayout w:type="fixed"/>
        <w:tblInd w:w="50" w:type="dxa"/>
        <w:tblCellMar>
          <w:top w:w="0" w:type="dxa"/>
          <w:left w:w="0" w:type="dxa"/>
          <w:bottom w:w="0" w:type="dxa"/>
          <w:right w:w="0" w:type="dxa"/>
        </w:tblCellMar>
      </w:tblPr>
      <w:tr>
        <w:trPr>
          <w:trHeight w:val="134"/>
        </w:trPr>
        <w:tc>
          <w:tcPr>
            <w:tcW w:w="1100" w:type="dxa"/>
            <w:vAlign w:val="bottom"/>
            <w:tcBorders>
              <w:top w:val="single" w:sz="8" w:color="auto"/>
              <w:left w:val="single" w:sz="8" w:color="auto"/>
              <w:right w:val="single" w:sz="8" w:color="auto"/>
            </w:tcBorders>
            <w:shd w:val="clear" w:color="auto" w:fill="DBE5F1"/>
          </w:tcPr>
          <w:p>
            <w:pPr>
              <w:spacing w:after="0"/>
              <w:rPr>
                <w:sz w:val="11"/>
                <w:szCs w:val="11"/>
                <w:color w:val="auto"/>
              </w:rPr>
            </w:pPr>
          </w:p>
        </w:tc>
        <w:tc>
          <w:tcPr>
            <w:tcW w:w="920" w:type="dxa"/>
            <w:vAlign w:val="bottom"/>
            <w:tcBorders>
              <w:top w:val="single" w:sz="8" w:color="auto"/>
              <w:right w:val="single" w:sz="8" w:color="auto"/>
            </w:tcBorders>
            <w:shd w:val="clear" w:color="auto" w:fill="DBE5F1"/>
          </w:tcPr>
          <w:p>
            <w:pPr>
              <w:spacing w:after="0"/>
              <w:rPr>
                <w:sz w:val="11"/>
                <w:szCs w:val="11"/>
                <w:color w:val="auto"/>
              </w:rPr>
            </w:pPr>
          </w:p>
        </w:tc>
        <w:tc>
          <w:tcPr>
            <w:tcW w:w="720" w:type="dxa"/>
            <w:vAlign w:val="bottom"/>
            <w:tcBorders>
              <w:top w:val="single" w:sz="8" w:color="auto"/>
              <w:right w:val="single" w:sz="8" w:color="auto"/>
            </w:tcBorders>
            <w:shd w:val="clear" w:color="auto" w:fill="DBE5F1"/>
          </w:tcPr>
          <w:p>
            <w:pPr>
              <w:spacing w:after="0"/>
              <w:rPr>
                <w:sz w:val="11"/>
                <w:szCs w:val="11"/>
                <w:color w:val="auto"/>
              </w:rPr>
            </w:pPr>
          </w:p>
        </w:tc>
        <w:tc>
          <w:tcPr>
            <w:tcW w:w="1040" w:type="dxa"/>
            <w:vAlign w:val="bottom"/>
            <w:tcBorders>
              <w:top w:val="single" w:sz="8" w:color="auto"/>
              <w:right w:val="single" w:sz="8" w:color="auto"/>
            </w:tcBorders>
            <w:shd w:val="clear" w:color="auto" w:fill="DBE5F1"/>
          </w:tcPr>
          <w:p>
            <w:pPr>
              <w:spacing w:after="0"/>
              <w:rPr>
                <w:sz w:val="11"/>
                <w:szCs w:val="11"/>
                <w:color w:val="auto"/>
              </w:rPr>
            </w:pPr>
          </w:p>
        </w:tc>
        <w:tc>
          <w:tcPr>
            <w:tcW w:w="840" w:type="dxa"/>
            <w:vAlign w:val="bottom"/>
            <w:tcBorders>
              <w:top w:val="single" w:sz="8" w:color="auto"/>
              <w:right w:val="single" w:sz="8" w:color="auto"/>
            </w:tcBorders>
            <w:shd w:val="clear" w:color="auto" w:fill="DBE5F1"/>
          </w:tcPr>
          <w:p>
            <w:pPr>
              <w:spacing w:after="0"/>
              <w:rPr>
                <w:sz w:val="11"/>
                <w:szCs w:val="11"/>
                <w:color w:val="auto"/>
              </w:rPr>
            </w:pPr>
          </w:p>
        </w:tc>
        <w:tc>
          <w:tcPr>
            <w:tcW w:w="920" w:type="dxa"/>
            <w:vAlign w:val="bottom"/>
            <w:tcBorders>
              <w:top w:val="single" w:sz="8" w:color="auto"/>
              <w:right w:val="single" w:sz="8" w:color="auto"/>
            </w:tcBorders>
            <w:shd w:val="clear" w:color="auto" w:fill="DBE5F1"/>
          </w:tcPr>
          <w:p>
            <w:pPr>
              <w:spacing w:after="0"/>
              <w:rPr>
                <w:sz w:val="11"/>
                <w:szCs w:val="11"/>
                <w:color w:val="auto"/>
              </w:rPr>
            </w:pPr>
          </w:p>
        </w:tc>
        <w:tc>
          <w:tcPr>
            <w:tcW w:w="960" w:type="dxa"/>
            <w:vAlign w:val="bottom"/>
            <w:tcBorders>
              <w:top w:val="single" w:sz="8" w:color="auto"/>
              <w:right w:val="single" w:sz="8" w:color="auto"/>
            </w:tcBorders>
            <w:shd w:val="clear" w:color="auto" w:fill="DBE5F1"/>
          </w:tcPr>
          <w:p>
            <w:pPr>
              <w:spacing w:after="0"/>
              <w:rPr>
                <w:sz w:val="11"/>
                <w:szCs w:val="11"/>
                <w:color w:val="auto"/>
              </w:rPr>
            </w:pPr>
          </w:p>
        </w:tc>
        <w:tc>
          <w:tcPr>
            <w:tcW w:w="940" w:type="dxa"/>
            <w:vAlign w:val="bottom"/>
            <w:tcBorders>
              <w:top w:val="single" w:sz="8" w:color="auto"/>
              <w:right w:val="single" w:sz="8" w:color="auto"/>
            </w:tcBorders>
            <w:shd w:val="clear" w:color="auto" w:fill="DBE5F1"/>
          </w:tcPr>
          <w:p>
            <w:pPr>
              <w:spacing w:after="0"/>
              <w:rPr>
                <w:sz w:val="11"/>
                <w:szCs w:val="11"/>
                <w:color w:val="auto"/>
              </w:rPr>
            </w:pPr>
          </w:p>
        </w:tc>
        <w:tc>
          <w:tcPr>
            <w:tcW w:w="920" w:type="dxa"/>
            <w:vAlign w:val="bottom"/>
            <w:tcBorders>
              <w:top w:val="single" w:sz="8" w:color="auto"/>
              <w:right w:val="single" w:sz="8" w:color="auto"/>
            </w:tcBorders>
            <w:shd w:val="clear" w:color="auto" w:fill="DBE5F1"/>
          </w:tcPr>
          <w:p>
            <w:pPr>
              <w:spacing w:after="0"/>
              <w:rPr>
                <w:sz w:val="11"/>
                <w:szCs w:val="11"/>
                <w:color w:val="auto"/>
              </w:rPr>
            </w:pPr>
          </w:p>
        </w:tc>
        <w:tc>
          <w:tcPr>
            <w:tcW w:w="940" w:type="dxa"/>
            <w:vAlign w:val="bottom"/>
            <w:tcBorders>
              <w:top w:val="single" w:sz="8" w:color="auto"/>
              <w:right w:val="single" w:sz="8" w:color="auto"/>
            </w:tcBorders>
            <w:shd w:val="clear" w:color="auto" w:fill="DBE5F1"/>
          </w:tcPr>
          <w:p>
            <w:pPr>
              <w:spacing w:after="0"/>
              <w:rPr>
                <w:sz w:val="11"/>
                <w:szCs w:val="11"/>
                <w:color w:val="auto"/>
              </w:rPr>
            </w:pPr>
          </w:p>
        </w:tc>
        <w:tc>
          <w:tcPr>
            <w:tcW w:w="940" w:type="dxa"/>
            <w:vAlign w:val="bottom"/>
            <w:tcBorders>
              <w:top w:val="single" w:sz="8" w:color="auto"/>
              <w:right w:val="single" w:sz="8" w:color="auto"/>
            </w:tcBorders>
            <w:shd w:val="clear" w:color="auto" w:fill="DBE5F1"/>
          </w:tcPr>
          <w:p>
            <w:pPr>
              <w:jc w:val="center"/>
              <w:spacing w:after="0" w:line="134" w:lineRule="exact"/>
              <w:rPr>
                <w:sz w:val="20"/>
                <w:szCs w:val="20"/>
                <w:color w:val="auto"/>
              </w:rPr>
            </w:pPr>
            <w:r>
              <w:rPr>
                <w:rFonts w:ascii="Times New Roman" w:cs="Times New Roman" w:eastAsia="Times New Roman" w:hAnsi="Times New Roman"/>
                <w:sz w:val="13"/>
                <w:szCs w:val="13"/>
                <w:color w:val="auto"/>
                <w:w w:val="95"/>
              </w:rPr>
              <w:t>Total # of Legal</w:t>
            </w:r>
          </w:p>
        </w:tc>
        <w:tc>
          <w:tcPr>
            <w:tcW w:w="960" w:type="dxa"/>
            <w:vAlign w:val="bottom"/>
            <w:tcBorders>
              <w:top w:val="single" w:sz="8" w:color="auto"/>
              <w:right w:val="single" w:sz="8" w:color="auto"/>
            </w:tcBorders>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right w:val="single" w:sz="8" w:color="auto"/>
            </w:tcBorders>
            <w:shd w:val="clear" w:color="auto" w:fill="DBE5F1"/>
          </w:tcPr>
          <w:p>
            <w:pPr>
              <w:spacing w:after="0"/>
              <w:rPr>
                <w:sz w:val="11"/>
                <w:szCs w:val="11"/>
                <w:color w:val="auto"/>
              </w:rPr>
            </w:pPr>
          </w:p>
        </w:tc>
        <w:tc>
          <w:tcPr>
            <w:tcW w:w="920" w:type="dxa"/>
            <w:vAlign w:val="bottom"/>
            <w:tcBorders>
              <w:right w:val="single" w:sz="8" w:color="auto"/>
            </w:tcBorders>
            <w:shd w:val="clear" w:color="auto" w:fill="DBE5F1"/>
          </w:tcPr>
          <w:p>
            <w:pPr>
              <w:spacing w:after="0"/>
              <w:rPr>
                <w:sz w:val="11"/>
                <w:szCs w:val="11"/>
                <w:color w:val="auto"/>
              </w:rPr>
            </w:pPr>
          </w:p>
        </w:tc>
        <w:tc>
          <w:tcPr>
            <w:tcW w:w="720" w:type="dxa"/>
            <w:vAlign w:val="bottom"/>
            <w:tcBorders>
              <w:right w:val="single" w:sz="8" w:color="auto"/>
            </w:tcBorders>
            <w:shd w:val="clear" w:color="auto" w:fill="DBE5F1"/>
          </w:tcPr>
          <w:p>
            <w:pPr>
              <w:spacing w:after="0"/>
              <w:rPr>
                <w:sz w:val="11"/>
                <w:szCs w:val="11"/>
                <w:color w:val="auto"/>
              </w:rPr>
            </w:pPr>
          </w:p>
        </w:tc>
        <w:tc>
          <w:tcPr>
            <w:tcW w:w="1040" w:type="dxa"/>
            <w:vAlign w:val="bottom"/>
            <w:tcBorders>
              <w:right w:val="single" w:sz="8" w:color="auto"/>
            </w:tcBorders>
            <w:shd w:val="clear" w:color="auto" w:fill="DBE5F1"/>
          </w:tcPr>
          <w:p>
            <w:pPr>
              <w:spacing w:after="0"/>
              <w:rPr>
                <w:sz w:val="11"/>
                <w:szCs w:val="11"/>
                <w:color w:val="auto"/>
              </w:rPr>
            </w:pPr>
          </w:p>
        </w:tc>
        <w:tc>
          <w:tcPr>
            <w:tcW w:w="840" w:type="dxa"/>
            <w:vAlign w:val="bottom"/>
            <w:tcBorders>
              <w:right w:val="single" w:sz="8" w:color="auto"/>
            </w:tcBorders>
            <w:shd w:val="clear" w:color="auto" w:fill="DBE5F1"/>
          </w:tcPr>
          <w:p>
            <w:pPr>
              <w:spacing w:after="0"/>
              <w:rPr>
                <w:sz w:val="11"/>
                <w:szCs w:val="11"/>
                <w:color w:val="auto"/>
              </w:rPr>
            </w:pPr>
          </w:p>
        </w:tc>
        <w:tc>
          <w:tcPr>
            <w:tcW w:w="920" w:type="dxa"/>
            <w:vAlign w:val="bottom"/>
            <w:tcBorders>
              <w:right w:val="single" w:sz="8" w:color="auto"/>
            </w:tcBorders>
            <w:shd w:val="clear" w:color="auto" w:fill="DBE5F1"/>
          </w:tcPr>
          <w:p>
            <w:pPr>
              <w:spacing w:after="0"/>
              <w:rPr>
                <w:sz w:val="11"/>
                <w:szCs w:val="11"/>
                <w:color w:val="auto"/>
              </w:rPr>
            </w:pPr>
          </w:p>
        </w:tc>
        <w:tc>
          <w:tcPr>
            <w:tcW w:w="960" w:type="dxa"/>
            <w:vAlign w:val="bottom"/>
            <w:tcBorders>
              <w:right w:val="single" w:sz="8" w:color="auto"/>
            </w:tcBorders>
            <w:shd w:val="clear" w:color="auto" w:fill="DBE5F1"/>
          </w:tcPr>
          <w:p>
            <w:pPr>
              <w:spacing w:after="0"/>
              <w:rPr>
                <w:sz w:val="11"/>
                <w:szCs w:val="11"/>
                <w:color w:val="auto"/>
              </w:rPr>
            </w:pPr>
          </w:p>
        </w:tc>
        <w:tc>
          <w:tcPr>
            <w:tcW w:w="940" w:type="dxa"/>
            <w:vAlign w:val="bottom"/>
            <w:tcBorders>
              <w:right w:val="single" w:sz="8" w:color="auto"/>
            </w:tcBorders>
            <w:shd w:val="clear" w:color="auto" w:fill="DBE5F1"/>
          </w:tcPr>
          <w:p>
            <w:pPr>
              <w:spacing w:after="0"/>
              <w:rPr>
                <w:sz w:val="11"/>
                <w:szCs w:val="11"/>
                <w:color w:val="auto"/>
              </w:rPr>
            </w:pPr>
          </w:p>
        </w:tc>
        <w:tc>
          <w:tcPr>
            <w:tcW w:w="920" w:type="dxa"/>
            <w:vAlign w:val="bottom"/>
            <w:tcBorders>
              <w:right w:val="single" w:sz="8" w:color="auto"/>
            </w:tcBorders>
            <w:shd w:val="clear" w:color="auto" w:fill="DBE5F1"/>
          </w:tcPr>
          <w:p>
            <w:pPr>
              <w:spacing w:after="0"/>
              <w:rPr>
                <w:sz w:val="11"/>
                <w:szCs w:val="11"/>
                <w:color w:val="auto"/>
              </w:rPr>
            </w:pPr>
          </w:p>
        </w:tc>
        <w:tc>
          <w:tcPr>
            <w:tcW w:w="940" w:type="dxa"/>
            <w:vAlign w:val="bottom"/>
            <w:tcBorders>
              <w:right w:val="single" w:sz="8" w:color="auto"/>
            </w:tcBorders>
            <w:shd w:val="clear" w:color="auto" w:fill="DBE5F1"/>
          </w:tcPr>
          <w:p>
            <w:pPr>
              <w:spacing w:after="0"/>
              <w:rPr>
                <w:sz w:val="11"/>
                <w:szCs w:val="11"/>
                <w:color w:val="auto"/>
              </w:rPr>
            </w:pPr>
          </w:p>
        </w:tc>
        <w:tc>
          <w:tcPr>
            <w:tcW w:w="940" w:type="dxa"/>
            <w:vAlign w:val="bottom"/>
            <w:tcBorders>
              <w:right w:val="single" w:sz="8" w:color="auto"/>
            </w:tcBorders>
            <w:shd w:val="clear" w:color="auto" w:fill="DBE5F1"/>
          </w:tcPr>
          <w:p>
            <w:pPr>
              <w:jc w:val="center"/>
              <w:spacing w:after="0" w:line="131" w:lineRule="exact"/>
              <w:rPr>
                <w:sz w:val="20"/>
                <w:szCs w:val="20"/>
                <w:color w:val="auto"/>
              </w:rPr>
            </w:pPr>
            <w:r>
              <w:rPr>
                <w:rFonts w:ascii="Times New Roman" w:cs="Times New Roman" w:eastAsia="Times New Roman" w:hAnsi="Times New Roman"/>
                <w:sz w:val="13"/>
                <w:szCs w:val="13"/>
                <w:color w:val="auto"/>
                <w:w w:val="97"/>
              </w:rPr>
              <w:t>Actions Pending</w:t>
            </w:r>
          </w:p>
        </w:tc>
        <w:tc>
          <w:tcPr>
            <w:tcW w:w="960" w:type="dxa"/>
            <w:vAlign w:val="bottom"/>
            <w:tcBorders>
              <w:right w:val="single" w:sz="8" w:color="auto"/>
            </w:tcBorders>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00" w:type="dxa"/>
            <w:vAlign w:val="bottom"/>
            <w:tcBorders>
              <w:left w:val="single" w:sz="8" w:color="auto"/>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4"/>
              </w:rPr>
              <w:t>Mine</w:t>
            </w:r>
          </w:p>
        </w:tc>
        <w:tc>
          <w:tcPr>
            <w:tcW w:w="92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Total # of</w:t>
            </w:r>
          </w:p>
        </w:tc>
        <w:tc>
          <w:tcPr>
            <w:tcW w:w="720" w:type="dxa"/>
            <w:vAlign w:val="bottom"/>
            <w:tcBorders>
              <w:right w:val="single" w:sz="8" w:color="auto"/>
            </w:tcBorders>
            <w:shd w:val="clear" w:color="auto" w:fill="DBE5F1"/>
          </w:tcPr>
          <w:p>
            <w:pPr>
              <w:spacing w:after="0"/>
              <w:rPr>
                <w:sz w:val="10"/>
                <w:szCs w:val="10"/>
                <w:color w:val="auto"/>
              </w:rPr>
            </w:pPr>
          </w:p>
        </w:tc>
        <w:tc>
          <w:tcPr>
            <w:tcW w:w="104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Total # of</w:t>
            </w:r>
          </w:p>
        </w:tc>
        <w:tc>
          <w:tcPr>
            <w:tcW w:w="840" w:type="dxa"/>
            <w:vAlign w:val="bottom"/>
            <w:tcBorders>
              <w:right w:val="single" w:sz="8" w:color="auto"/>
            </w:tcBorders>
            <w:shd w:val="clear" w:color="auto" w:fill="DBE5F1"/>
          </w:tcPr>
          <w:p>
            <w:pPr>
              <w:spacing w:after="0"/>
              <w:rPr>
                <w:sz w:val="10"/>
                <w:szCs w:val="10"/>
                <w:color w:val="auto"/>
              </w:rPr>
            </w:pPr>
          </w:p>
        </w:tc>
        <w:tc>
          <w:tcPr>
            <w:tcW w:w="920" w:type="dxa"/>
            <w:vAlign w:val="bottom"/>
            <w:tcBorders>
              <w:right w:val="single" w:sz="8" w:color="auto"/>
            </w:tcBorders>
            <w:shd w:val="clear" w:color="auto" w:fill="DBE5F1"/>
          </w:tcPr>
          <w:p>
            <w:pPr>
              <w:spacing w:after="0"/>
              <w:rPr>
                <w:sz w:val="10"/>
                <w:szCs w:val="10"/>
                <w:color w:val="auto"/>
              </w:rPr>
            </w:pPr>
          </w:p>
        </w:tc>
        <w:tc>
          <w:tcPr>
            <w:tcW w:w="96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Total dollar value</w:t>
            </w:r>
          </w:p>
        </w:tc>
        <w:tc>
          <w:tcPr>
            <w:tcW w:w="940" w:type="dxa"/>
            <w:vAlign w:val="bottom"/>
            <w:tcBorders>
              <w:right w:val="single" w:sz="8" w:color="auto"/>
            </w:tcBorders>
            <w:shd w:val="clear" w:color="auto" w:fill="DBE5F1"/>
          </w:tcPr>
          <w:p>
            <w:pPr>
              <w:spacing w:after="0"/>
              <w:rPr>
                <w:sz w:val="10"/>
                <w:szCs w:val="10"/>
                <w:color w:val="auto"/>
              </w:rPr>
            </w:pPr>
          </w:p>
        </w:tc>
        <w:tc>
          <w:tcPr>
            <w:tcW w:w="92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Received Notice</w:t>
            </w:r>
          </w:p>
        </w:tc>
        <w:tc>
          <w:tcPr>
            <w:tcW w:w="94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Received Notice</w:t>
            </w:r>
          </w:p>
        </w:tc>
        <w:tc>
          <w:tcPr>
            <w:tcW w:w="940" w:type="dxa"/>
            <w:vAlign w:val="bottom"/>
            <w:tcBorders>
              <w:right w:val="single" w:sz="8" w:color="auto"/>
            </w:tcBorders>
            <w:shd w:val="clear" w:color="auto" w:fill="DBE5F1"/>
          </w:tcPr>
          <w:p>
            <w:pPr>
              <w:jc w:val="center"/>
              <w:spacing w:after="0" w:line="126" w:lineRule="exact"/>
              <w:rPr>
                <w:sz w:val="20"/>
                <w:szCs w:val="20"/>
                <w:color w:val="auto"/>
              </w:rPr>
            </w:pPr>
            <w:r>
              <w:rPr>
                <w:rFonts w:ascii="Times New Roman" w:cs="Times New Roman" w:eastAsia="Times New Roman" w:hAnsi="Times New Roman"/>
                <w:sz w:val="13"/>
                <w:szCs w:val="13"/>
                <w:color w:val="auto"/>
                <w:w w:val="98"/>
              </w:rPr>
              <w:t>with the Mine</w:t>
            </w:r>
          </w:p>
        </w:tc>
        <w:tc>
          <w:tcPr>
            <w:tcW w:w="960" w:type="dxa"/>
            <w:vAlign w:val="bottom"/>
            <w:tcBorders>
              <w:right w:val="single" w:sz="8" w:color="auto"/>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00" w:type="dxa"/>
            <w:vAlign w:val="bottom"/>
            <w:tcBorders>
              <w:left w:val="single" w:sz="8" w:color="auto"/>
              <w:right w:val="single" w:sz="8" w:color="auto"/>
            </w:tcBorders>
            <w:vMerge w:val="continue"/>
            <w:shd w:val="clear" w:color="auto" w:fill="DBE5F1"/>
          </w:tcPr>
          <w:p>
            <w:pPr>
              <w:spacing w:after="0"/>
              <w:rPr>
                <w:sz w:val="10"/>
                <w:szCs w:val="10"/>
                <w:color w:val="auto"/>
              </w:rPr>
            </w:pPr>
          </w:p>
        </w:tc>
        <w:tc>
          <w:tcPr>
            <w:tcW w:w="920" w:type="dxa"/>
            <w:vAlign w:val="bottom"/>
            <w:tcBorders>
              <w:right w:val="single" w:sz="8" w:color="auto"/>
            </w:tcBorders>
            <w:vMerge w:val="continue"/>
            <w:shd w:val="clear" w:color="auto" w:fill="DBE5F1"/>
          </w:tcPr>
          <w:p>
            <w:pPr>
              <w:spacing w:after="0"/>
              <w:rPr>
                <w:sz w:val="10"/>
                <w:szCs w:val="10"/>
                <w:color w:val="auto"/>
              </w:rPr>
            </w:pPr>
          </w:p>
        </w:tc>
        <w:tc>
          <w:tcPr>
            <w:tcW w:w="720" w:type="dxa"/>
            <w:vAlign w:val="bottom"/>
            <w:tcBorders>
              <w:right w:val="single" w:sz="8" w:color="auto"/>
            </w:tcBorders>
            <w:shd w:val="clear" w:color="auto" w:fill="DBE5F1"/>
          </w:tcPr>
          <w:p>
            <w:pPr>
              <w:spacing w:after="0"/>
              <w:rPr>
                <w:sz w:val="10"/>
                <w:szCs w:val="10"/>
                <w:color w:val="auto"/>
              </w:rPr>
            </w:pPr>
          </w:p>
        </w:tc>
        <w:tc>
          <w:tcPr>
            <w:tcW w:w="1040" w:type="dxa"/>
            <w:vAlign w:val="bottom"/>
            <w:tcBorders>
              <w:right w:val="single" w:sz="8" w:color="auto"/>
            </w:tcBorders>
            <w:vMerge w:val="continue"/>
            <w:shd w:val="clear" w:color="auto" w:fill="DBE5F1"/>
          </w:tcPr>
          <w:p>
            <w:pPr>
              <w:spacing w:after="0"/>
              <w:rPr>
                <w:sz w:val="10"/>
                <w:szCs w:val="10"/>
                <w:color w:val="auto"/>
              </w:rPr>
            </w:pPr>
          </w:p>
        </w:tc>
        <w:tc>
          <w:tcPr>
            <w:tcW w:w="840" w:type="dxa"/>
            <w:vAlign w:val="bottom"/>
            <w:tcBorders>
              <w:right w:val="single" w:sz="8" w:color="auto"/>
            </w:tcBorders>
            <w:shd w:val="clear" w:color="auto" w:fill="DBE5F1"/>
          </w:tcPr>
          <w:p>
            <w:pPr>
              <w:spacing w:after="0"/>
              <w:rPr>
                <w:sz w:val="10"/>
                <w:szCs w:val="10"/>
                <w:color w:val="auto"/>
              </w:rPr>
            </w:pPr>
          </w:p>
        </w:tc>
        <w:tc>
          <w:tcPr>
            <w:tcW w:w="920" w:type="dxa"/>
            <w:vAlign w:val="bottom"/>
            <w:tcBorders>
              <w:right w:val="single" w:sz="8" w:color="auto"/>
            </w:tcBorders>
            <w:shd w:val="clear" w:color="auto" w:fill="DBE5F1"/>
          </w:tcPr>
          <w:p>
            <w:pPr>
              <w:spacing w:after="0"/>
              <w:rPr>
                <w:sz w:val="10"/>
                <w:szCs w:val="10"/>
                <w:color w:val="auto"/>
              </w:rPr>
            </w:pPr>
          </w:p>
        </w:tc>
        <w:tc>
          <w:tcPr>
            <w:tcW w:w="960" w:type="dxa"/>
            <w:vAlign w:val="bottom"/>
            <w:tcBorders>
              <w:right w:val="single" w:sz="8" w:color="auto"/>
            </w:tcBorders>
            <w:vMerge w:val="continue"/>
            <w:shd w:val="clear" w:color="auto" w:fill="DBE5F1"/>
          </w:tcPr>
          <w:p>
            <w:pPr>
              <w:spacing w:after="0"/>
              <w:rPr>
                <w:sz w:val="10"/>
                <w:szCs w:val="10"/>
                <w:color w:val="auto"/>
              </w:rPr>
            </w:pPr>
          </w:p>
        </w:tc>
        <w:tc>
          <w:tcPr>
            <w:tcW w:w="940" w:type="dxa"/>
            <w:vAlign w:val="bottom"/>
            <w:tcBorders>
              <w:right w:val="single" w:sz="8" w:color="auto"/>
            </w:tcBorders>
            <w:shd w:val="clear" w:color="auto" w:fill="DBE5F1"/>
          </w:tcPr>
          <w:p>
            <w:pPr>
              <w:spacing w:after="0"/>
              <w:rPr>
                <w:sz w:val="10"/>
                <w:szCs w:val="10"/>
                <w:color w:val="auto"/>
              </w:rPr>
            </w:pPr>
          </w:p>
        </w:tc>
        <w:tc>
          <w:tcPr>
            <w:tcW w:w="920" w:type="dxa"/>
            <w:vAlign w:val="bottom"/>
            <w:tcBorders>
              <w:right w:val="single" w:sz="8" w:color="auto"/>
            </w:tcBorders>
            <w:vMerge w:val="continue"/>
            <w:shd w:val="clear" w:color="auto" w:fill="DBE5F1"/>
          </w:tcPr>
          <w:p>
            <w:pPr>
              <w:spacing w:after="0"/>
              <w:rPr>
                <w:sz w:val="10"/>
                <w:szCs w:val="10"/>
                <w:color w:val="auto"/>
              </w:rPr>
            </w:pPr>
          </w:p>
        </w:tc>
        <w:tc>
          <w:tcPr>
            <w:tcW w:w="940" w:type="dxa"/>
            <w:vAlign w:val="bottom"/>
            <w:tcBorders>
              <w:right w:val="single" w:sz="8" w:color="auto"/>
            </w:tcBorders>
            <w:vMerge w:val="continue"/>
            <w:shd w:val="clear" w:color="auto" w:fill="DBE5F1"/>
          </w:tcPr>
          <w:p>
            <w:pPr>
              <w:spacing w:after="0"/>
              <w:rPr>
                <w:sz w:val="10"/>
                <w:szCs w:val="10"/>
                <w:color w:val="auto"/>
              </w:rPr>
            </w:pPr>
          </w:p>
        </w:tc>
        <w:tc>
          <w:tcPr>
            <w:tcW w:w="94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Safety and</w:t>
            </w:r>
          </w:p>
        </w:tc>
        <w:tc>
          <w:tcPr>
            <w:tcW w:w="960" w:type="dxa"/>
            <w:vAlign w:val="bottom"/>
            <w:tcBorders>
              <w:right w:val="single" w:sz="8" w:color="auto"/>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(Federal Mine</w:t>
            </w:r>
          </w:p>
        </w:tc>
        <w:tc>
          <w:tcPr>
            <w:tcW w:w="92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Significant &amp;</w:t>
            </w:r>
          </w:p>
        </w:tc>
        <w:tc>
          <w:tcPr>
            <w:tcW w:w="72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3"/>
              </w:rPr>
              <w:t>Total # of</w:t>
            </w:r>
          </w:p>
        </w:tc>
        <w:tc>
          <w:tcPr>
            <w:tcW w:w="10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unwarrantable</w:t>
            </w:r>
          </w:p>
        </w:tc>
        <w:tc>
          <w:tcPr>
            <w:tcW w:w="8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Total # of</w:t>
            </w:r>
          </w:p>
        </w:tc>
        <w:tc>
          <w:tcPr>
            <w:tcW w:w="920" w:type="dxa"/>
            <w:vAlign w:val="bottom"/>
            <w:tcBorders>
              <w:right w:val="single" w:sz="8" w:color="auto"/>
            </w:tcBorders>
            <w:shd w:val="clear" w:color="auto" w:fill="DBE5F1"/>
          </w:tcPr>
          <w:p>
            <w:pPr>
              <w:spacing w:after="0"/>
              <w:rPr>
                <w:sz w:val="11"/>
                <w:szCs w:val="11"/>
                <w:color w:val="auto"/>
              </w:rPr>
            </w:pPr>
          </w:p>
        </w:tc>
        <w:tc>
          <w:tcPr>
            <w:tcW w:w="96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 proposed</w:t>
            </w:r>
          </w:p>
        </w:tc>
        <w:tc>
          <w:tcPr>
            <w:tcW w:w="940" w:type="dxa"/>
            <w:vAlign w:val="bottom"/>
            <w:tcBorders>
              <w:right w:val="single" w:sz="8" w:color="auto"/>
            </w:tcBorders>
            <w:shd w:val="clear" w:color="auto" w:fill="DBE5F1"/>
          </w:tcPr>
          <w:p>
            <w:pPr>
              <w:spacing w:after="0"/>
              <w:rPr>
                <w:sz w:val="11"/>
                <w:szCs w:val="11"/>
                <w:color w:val="auto"/>
              </w:rPr>
            </w:pPr>
          </w:p>
        </w:tc>
        <w:tc>
          <w:tcPr>
            <w:tcW w:w="92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of Pattern of</w:t>
            </w:r>
          </w:p>
        </w:tc>
        <w:tc>
          <w:tcPr>
            <w:tcW w:w="9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of Potential to</w:t>
            </w:r>
          </w:p>
        </w:tc>
        <w:tc>
          <w:tcPr>
            <w:tcW w:w="9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Health Review</w:t>
            </w:r>
          </w:p>
        </w:tc>
        <w:tc>
          <w:tcPr>
            <w:tcW w:w="96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Legal Actions</w:t>
            </w:r>
          </w:p>
        </w:tc>
        <w:tc>
          <w:tcPr>
            <w:tcW w:w="0" w:type="dxa"/>
            <w:vAlign w:val="bottom"/>
          </w:tcPr>
          <w:p>
            <w:pPr>
              <w:spacing w:after="0"/>
              <w:rPr>
                <w:sz w:val="1"/>
                <w:szCs w:val="1"/>
                <w:color w:val="auto"/>
              </w:rPr>
            </w:pPr>
          </w:p>
        </w:tc>
      </w:tr>
      <w:tr>
        <w:trPr>
          <w:trHeight w:val="121"/>
        </w:trPr>
        <w:tc>
          <w:tcPr>
            <w:tcW w:w="1100" w:type="dxa"/>
            <w:vAlign w:val="bottom"/>
            <w:tcBorders>
              <w:left w:val="single" w:sz="8" w:color="auto"/>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Safety and Health</w:t>
            </w:r>
          </w:p>
        </w:tc>
        <w:tc>
          <w:tcPr>
            <w:tcW w:w="92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Substantial</w:t>
            </w:r>
          </w:p>
        </w:tc>
        <w:tc>
          <w:tcPr>
            <w:tcW w:w="720" w:type="dxa"/>
            <w:vAlign w:val="bottom"/>
            <w:tcBorders>
              <w:right w:val="single" w:sz="8" w:color="auto"/>
            </w:tcBorders>
            <w:vMerge w:val="continue"/>
            <w:shd w:val="clear" w:color="auto" w:fill="DBE5F1"/>
          </w:tcPr>
          <w:p>
            <w:pPr>
              <w:spacing w:after="0"/>
              <w:rPr>
                <w:sz w:val="10"/>
                <w:szCs w:val="10"/>
                <w:color w:val="auto"/>
              </w:rPr>
            </w:pPr>
          </w:p>
        </w:tc>
        <w:tc>
          <w:tcPr>
            <w:tcW w:w="104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failure citations</w:t>
            </w:r>
          </w:p>
        </w:tc>
        <w:tc>
          <w:tcPr>
            <w:tcW w:w="84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violations</w:t>
            </w:r>
          </w:p>
        </w:tc>
        <w:tc>
          <w:tcPr>
            <w:tcW w:w="920" w:type="dxa"/>
            <w:vAlign w:val="bottom"/>
            <w:tcBorders>
              <w:right w:val="single" w:sz="8" w:color="auto"/>
            </w:tcBorders>
            <w:shd w:val="clear" w:color="auto" w:fill="DBE5F1"/>
          </w:tcPr>
          <w:p>
            <w:pPr>
              <w:spacing w:after="0"/>
              <w:rPr>
                <w:sz w:val="10"/>
                <w:szCs w:val="10"/>
                <w:color w:val="auto"/>
              </w:rPr>
            </w:pPr>
          </w:p>
        </w:tc>
        <w:tc>
          <w:tcPr>
            <w:tcW w:w="96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8"/>
              </w:rPr>
              <w:t>assessments from</w:t>
            </w:r>
          </w:p>
        </w:tc>
        <w:tc>
          <w:tcPr>
            <w:tcW w:w="940" w:type="dxa"/>
            <w:vAlign w:val="bottom"/>
            <w:tcBorders>
              <w:right w:val="single" w:sz="8" w:color="auto"/>
            </w:tcBorders>
            <w:shd w:val="clear" w:color="auto" w:fill="DBE5F1"/>
          </w:tcPr>
          <w:p>
            <w:pPr>
              <w:spacing w:after="0"/>
              <w:rPr>
                <w:sz w:val="10"/>
                <w:szCs w:val="10"/>
                <w:color w:val="auto"/>
              </w:rPr>
            </w:pPr>
          </w:p>
        </w:tc>
        <w:tc>
          <w:tcPr>
            <w:tcW w:w="92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Violations under</w:t>
            </w:r>
          </w:p>
        </w:tc>
        <w:tc>
          <w:tcPr>
            <w:tcW w:w="94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8"/>
              </w:rPr>
              <w:t>have Pattern</w:t>
            </w:r>
          </w:p>
        </w:tc>
        <w:tc>
          <w:tcPr>
            <w:tcW w:w="94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Commission as</w:t>
            </w:r>
          </w:p>
        </w:tc>
        <w:tc>
          <w:tcPr>
            <w:tcW w:w="96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Initiated or</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Administration</w:t>
            </w:r>
          </w:p>
        </w:tc>
        <w:tc>
          <w:tcPr>
            <w:tcW w:w="92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violations under</w:t>
            </w:r>
          </w:p>
        </w:tc>
        <w:tc>
          <w:tcPr>
            <w:tcW w:w="72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orders under</w:t>
            </w:r>
          </w:p>
        </w:tc>
        <w:tc>
          <w:tcPr>
            <w:tcW w:w="10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and orders under</w:t>
            </w:r>
          </w:p>
        </w:tc>
        <w:tc>
          <w:tcPr>
            <w:tcW w:w="8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under §110(b)</w:t>
            </w:r>
          </w:p>
        </w:tc>
        <w:tc>
          <w:tcPr>
            <w:tcW w:w="92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Total # of orders</w:t>
            </w:r>
          </w:p>
        </w:tc>
        <w:tc>
          <w:tcPr>
            <w:tcW w:w="96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MSHA ($ in</w:t>
            </w:r>
          </w:p>
        </w:tc>
        <w:tc>
          <w:tcPr>
            <w:tcW w:w="9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Total # of mining</w:t>
            </w:r>
          </w:p>
        </w:tc>
        <w:tc>
          <w:tcPr>
            <w:tcW w:w="92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§104(e)</w:t>
            </w:r>
          </w:p>
        </w:tc>
        <w:tc>
          <w:tcPr>
            <w:tcW w:w="9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under §104(e)</w:t>
            </w:r>
          </w:p>
        </w:tc>
        <w:tc>
          <w:tcPr>
            <w:tcW w:w="9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of the Last Day</w:t>
            </w:r>
          </w:p>
        </w:tc>
        <w:tc>
          <w:tcPr>
            <w:tcW w:w="96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Resolved During</w:t>
            </w:r>
          </w:p>
        </w:tc>
        <w:tc>
          <w:tcPr>
            <w:tcW w:w="0" w:type="dxa"/>
            <w:vAlign w:val="bottom"/>
          </w:tcPr>
          <w:p>
            <w:pPr>
              <w:spacing w:after="0"/>
              <w:rPr>
                <w:sz w:val="1"/>
                <w:szCs w:val="1"/>
                <w:color w:val="auto"/>
              </w:rPr>
            </w:pPr>
          </w:p>
        </w:tc>
      </w:tr>
      <w:tr>
        <w:trPr>
          <w:trHeight w:val="170"/>
        </w:trPr>
        <w:tc>
          <w:tcPr>
            <w:tcW w:w="1100" w:type="dxa"/>
            <w:vAlign w:val="bottom"/>
            <w:tcBorders>
              <w:left w:val="single" w:sz="8" w:color="auto"/>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(MSHA) ID)</w:t>
            </w:r>
          </w:p>
        </w:tc>
        <w:tc>
          <w:tcPr>
            <w:tcW w:w="9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3"/>
              </w:rPr>
              <w:t>§104(a)</w:t>
            </w:r>
          </w:p>
        </w:tc>
        <w:tc>
          <w:tcPr>
            <w:tcW w:w="7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§104(b)</w:t>
            </w:r>
          </w:p>
        </w:tc>
        <w:tc>
          <w:tcPr>
            <w:tcW w:w="10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§104(d)</w:t>
            </w:r>
          </w:p>
        </w:tc>
        <w:tc>
          <w:tcPr>
            <w:tcW w:w="840" w:type="dxa"/>
            <w:vAlign w:val="bottom"/>
            <w:tcBorders>
              <w:bottom w:val="single" w:sz="8" w:color="auto"/>
              <w:right w:val="single" w:sz="8" w:color="auto"/>
            </w:tcBorders>
            <w:shd w:val="clear" w:color="auto" w:fill="DBE5F1"/>
          </w:tcPr>
          <w:p>
            <w:pPr>
              <w:jc w:val="right"/>
              <w:ind w:right="297"/>
              <w:spacing w:after="0"/>
              <w:rPr>
                <w:sz w:val="20"/>
                <w:szCs w:val="20"/>
                <w:color w:val="auto"/>
              </w:rPr>
            </w:pPr>
            <w:r>
              <w:rPr>
                <w:rFonts w:ascii="Times New Roman" w:cs="Times New Roman" w:eastAsia="Times New Roman" w:hAnsi="Times New Roman"/>
                <w:sz w:val="13"/>
                <w:szCs w:val="13"/>
                <w:color w:val="auto"/>
              </w:rPr>
              <w:t>(2)</w:t>
            </w:r>
          </w:p>
        </w:tc>
        <w:tc>
          <w:tcPr>
            <w:tcW w:w="9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5"/>
              </w:rPr>
              <w:t>under §107(a)</w:t>
            </w:r>
          </w:p>
        </w:tc>
        <w:tc>
          <w:tcPr>
            <w:tcW w:w="96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5"/>
              </w:rPr>
              <w:t>thousands)</w:t>
            </w:r>
          </w:p>
        </w:tc>
        <w:tc>
          <w:tcPr>
            <w:tcW w:w="9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5"/>
              </w:rPr>
              <w:t>related fatalities</w:t>
            </w:r>
          </w:p>
        </w:tc>
        <w:tc>
          <w:tcPr>
            <w:tcW w:w="9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4"/>
              </w:rPr>
              <w:t>(yes/no)?</w:t>
            </w:r>
          </w:p>
        </w:tc>
        <w:tc>
          <w:tcPr>
            <w:tcW w:w="9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9"/>
              </w:rPr>
              <w:t>(yes/no)?</w:t>
            </w:r>
          </w:p>
        </w:tc>
        <w:tc>
          <w:tcPr>
            <w:tcW w:w="9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9"/>
              </w:rPr>
              <w:t>of Period</w:t>
            </w:r>
          </w:p>
        </w:tc>
        <w:tc>
          <w:tcPr>
            <w:tcW w:w="96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Period</w:t>
            </w:r>
          </w:p>
        </w:tc>
        <w:tc>
          <w:tcPr>
            <w:tcW w:w="0" w:type="dxa"/>
            <w:vAlign w:val="bottom"/>
          </w:tcPr>
          <w:p>
            <w:pPr>
              <w:spacing w:after="0"/>
              <w:rPr>
                <w:sz w:val="1"/>
                <w:szCs w:val="1"/>
                <w:color w:val="auto"/>
              </w:rPr>
            </w:pPr>
          </w:p>
        </w:tc>
      </w:tr>
      <w:tr>
        <w:trPr>
          <w:trHeight w:val="121"/>
        </w:trPr>
        <w:tc>
          <w:tcPr>
            <w:tcW w:w="1100" w:type="dxa"/>
            <w:vAlign w:val="bottom"/>
            <w:tcBorders>
              <w:left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color w:val="auto"/>
                <w:w w:val="97"/>
              </w:rPr>
              <w:t>TP Claims</w:t>
            </w:r>
          </w:p>
        </w:tc>
        <w:tc>
          <w:tcPr>
            <w:tcW w:w="9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7"/>
              </w:rPr>
              <w:t>1&amp;2/Rosa Blanca</w:t>
            </w:r>
          </w:p>
        </w:tc>
        <w:tc>
          <w:tcPr>
            <w:tcW w:w="9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(4100867)</w:t>
            </w:r>
          </w:p>
        </w:tc>
        <w:tc>
          <w:tcPr>
            <w:tcW w:w="92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lvl w:ilvl="1">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lowerRoman"/>
      <w:start w:val="2"/>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bullet"/>
      <w:start w:val="1"/>
    </w:lvl>
  </w:abstractNum>
  <w:abstractNum w:abstractNumId="28">
    <w:nsid w:val="5577F8E1"/>
    <w:multiLevelType w:val="hybridMultilevel"/>
    <w:lvl w:ilvl="0">
      <w:lvlJc w:val="left"/>
      <w:lvlText w:val="2"/>
      <w:numFmt w:val="bullet"/>
      <w:start w:val="1"/>
    </w:lvl>
  </w:abstractNum>
  <w:abstractNum w:abstractNumId="29">
    <w:nsid w:val="440BADFC"/>
    <w:multiLevelType w:val="hybridMultilevel"/>
    <w:lvl w:ilvl="0">
      <w:lvlJc w:val="left"/>
      <w:lvlText w:val="3"/>
      <w:numFmt w:val="bullet"/>
      <w:start w:val="1"/>
    </w:lvl>
  </w:abstractNum>
  <w:abstractNum w:abstractNumId="30">
    <w:nsid w:val="5072367"/>
    <w:multiLevelType w:val="hybridMultilevel"/>
    <w:lvl w:ilvl="0">
      <w:lvlJc w:val="left"/>
      <w:lvlText w:val="4"/>
      <w:numFmt w:val="bullet"/>
      <w:start w:val="1"/>
    </w:lvl>
    <w:lvl w:ilvl="1">
      <w:lvlJc w:val="left"/>
      <w:lvlText w:val="(%2)"/>
      <w:numFmt w:val="lowerLetter"/>
      <w:start w:val="1"/>
    </w:lvl>
  </w:abstractNum>
  <w:abstractNum w:abstractNumId="31">
    <w:nsid w:val="3804823E"/>
    <w:multiLevelType w:val="hybridMultilevel"/>
    <w:lvl w:ilvl="0">
      <w:lvlJc w:val="left"/>
      <w:lvlText w:val="5"/>
      <w:numFmt w:val="bullet"/>
      <w:start w:val="1"/>
    </w:lvl>
    <w:lvl w:ilvl="1">
      <w:lvlJc w:val="left"/>
      <w:lvlText w:val="(%2)"/>
      <w:numFmt w:val="lowerLetter"/>
      <w:start w:val="1"/>
    </w:lvl>
  </w:abstractNum>
  <w:abstractNum w:abstractNumId="32">
    <w:nsid w:val="77465F01"/>
    <w:multiLevelType w:val="hybridMultilevel"/>
    <w:lvl w:ilvl="0">
      <w:lvlJc w:val="left"/>
      <w:lvlText w:val="1"/>
      <w:numFmt w:val="bullet"/>
      <w:start w:val="1"/>
    </w:lvl>
  </w:abstractNum>
  <w:abstractNum w:abstractNumId="33">
    <w:nsid w:val="7724C67E"/>
    <w:multiLevelType w:val="hybridMultilevel"/>
    <w:lvl w:ilvl="0">
      <w:lvlJc w:val="left"/>
      <w:lvlText w:val="2"/>
      <w:numFmt w:val="bullet"/>
      <w:start w:val="1"/>
    </w:lvl>
  </w:abstractNum>
  <w:abstractNum w:abstractNumId="34">
    <w:nsid w:val="5C482A97"/>
    <w:multiLevelType w:val="hybridMultilevel"/>
    <w:lvl w:ilvl="0">
      <w:lvlJc w:val="left"/>
      <w:lvlText w:val="3"/>
      <w:numFmt w:val="bullet"/>
      <w:start w:val="1"/>
    </w:lvl>
  </w:abstractNum>
  <w:abstractNum w:abstractNumId="35">
    <w:nsid w:val="2463B9EA"/>
    <w:multiLevelType w:val="hybridMultilevel"/>
    <w:lvl w:ilvl="0">
      <w:lvlJc w:val="left"/>
      <w:lvlText w:val="4"/>
      <w:numFmt w:val="bullet"/>
      <w:start w:val="1"/>
    </w:lvl>
    <w:lvl w:ilvl="1">
      <w:lvlJc w:val="left"/>
      <w:lvlText w:val="(%2)"/>
      <w:numFmt w:val="lowerLetter"/>
      <w:start w:val="1"/>
    </w:lvl>
  </w:abstractNum>
  <w:abstractNum w:abstractNumId="36">
    <w:nsid w:val="5E884ADC"/>
    <w:multiLevelType w:val="hybridMultilevel"/>
    <w:lvl w:ilvl="0">
      <w:lvlJc w:val="left"/>
      <w:lvlText w:val="5"/>
      <w:numFmt w:val="bullet"/>
      <w:start w:val="1"/>
    </w:lvl>
    <w:lvl w:ilvl="1">
      <w:lvlJc w:val="left"/>
      <w:lvlText w:val="(%2)"/>
      <w:numFmt w:val="lowerLetter"/>
      <w:start w:val="1"/>
    </w:lvl>
  </w:abstractNum>
  <w:abstractNum w:abstractNumId="37">
    <w:nsid w:val="51EAD36B"/>
    <w:multiLevelType w:val="hybridMultilevel"/>
    <w:lvl w:ilvl="0">
      <w:lvlJc w:val="left"/>
      <w:lvlText w:val="1"/>
      <w:numFmt w:val="bullet"/>
      <w:start w:val="1"/>
    </w:lvl>
  </w:abstractNum>
  <w:abstractNum w:abstractNumId="38">
    <w:nsid w:val="2D517796"/>
    <w:multiLevelType w:val="hybridMultilevel"/>
    <w:lvl w:ilvl="0">
      <w:lvlJc w:val="left"/>
      <w:lvlText w:val="2"/>
      <w:numFmt w:val="bullet"/>
      <w:start w:val="1"/>
    </w:lvl>
  </w:abstractNum>
  <w:abstractNum w:abstractNumId="39">
    <w:nsid w:val="580BD78F"/>
    <w:multiLevelType w:val="hybridMultilevel"/>
    <w:lvl w:ilvl="0">
      <w:lvlJc w:val="left"/>
      <w:lvlText w:val="1"/>
      <w:numFmt w:val="bullet"/>
      <w:start w:val="1"/>
    </w:lvl>
  </w:abstractNum>
  <w:abstractNum w:abstractNumId="40">
    <w:nsid w:val="153EA43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9"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99" Type="http://schemas.openxmlformats.org/officeDocument/2006/relationships/hyperlink" Target="https://www.sec.gov/Archives/edgar/data/851968/0000931763-99-000698.txt" TargetMode="External"/><Relationship Id="rId100" Type="http://schemas.openxmlformats.org/officeDocument/2006/relationships/hyperlink" Target="https://www.sec.gov/ix?doc=/Archives/edgar/data/851968/000085196824000127/mhk-20241031.htm" TargetMode="External"/><Relationship Id="rId101" Type="http://schemas.openxmlformats.org/officeDocument/2006/relationships/hyperlink" Target="https://www.sec.gov/Archives/edgar/data/851968/000119312513032675/d475869dex41.htm" TargetMode="External"/><Relationship Id="rId102" Type="http://schemas.openxmlformats.org/officeDocument/2006/relationships/hyperlink" Target="https://www.sec.gov/Archives/edgar/data/851968/000119312513032675/d475869dex42.htm" TargetMode="External"/><Relationship Id="rId103" Type="http://schemas.openxmlformats.org/officeDocument/2006/relationships/hyperlink" Target="https://www.sec.gov/Archives/edgar/data/851968/000119312520145218/d892189dex42.htm" TargetMode="External"/><Relationship Id="rId104" Type="http://schemas.openxmlformats.org/officeDocument/2006/relationships/hyperlink" Target="https://www.sec.gov/Archives/edgar/data/0000851968/000119312520145218/d892189dex43.htm" TargetMode="External"/><Relationship Id="rId105" Type="http://schemas.openxmlformats.org/officeDocument/2006/relationships/hyperlink" Target="https://www.sec.gov/Archives/edgar/data/851968/000085196817000084/ex41mohawkcapitalfinance-i.htm" TargetMode="External"/><Relationship Id="rId106" Type="http://schemas.openxmlformats.org/officeDocument/2006/relationships/hyperlink" Target="https://www.sec.gov/Archives/edgar/data/851968/000119312520167672/d945275dex42.htm" TargetMode="External"/><Relationship Id="rId107" Type="http://schemas.openxmlformats.org/officeDocument/2006/relationships/hyperlink" Target="https://www.sec.gov/Archives/edgar/data/0000851968/000119312520167672/d945275dex43.htm" TargetMode="External"/><Relationship Id="rId108" Type="http://schemas.openxmlformats.org/officeDocument/2006/relationships/hyperlink" Target="https://www.sec.gov/Archives/edgar/data/851968/000119312523236886/d545740dex42.htm" TargetMode="External"/><Relationship Id="rId110" Type="http://schemas.openxmlformats.org/officeDocument/2006/relationships/hyperlink" Target="https://www.sec.gov/Archives/edgar/data/851968/000119312523236886/d545740dex43.htm" TargetMode="External"/><Relationship Id="rId111" Type="http://schemas.openxmlformats.org/officeDocument/2006/relationships/hyperlink" Target="https://www.sec.gov/Archives/edgar/data/851968/000085196822000026/ex49-descriptionofregist.htm" TargetMode="External"/><Relationship Id="rId112" Type="http://schemas.openxmlformats.org/officeDocument/2006/relationships/hyperlink" Target="https://www.sec.gov/Archives/edgar/data/851968/000119312519273726/d821759dex101.htm" TargetMode="External"/><Relationship Id="rId113" Type="http://schemas.openxmlformats.org/officeDocument/2006/relationships/hyperlink" Target="https://www.sec.gov/Archives/edgar/data/851968/000085196820000042/mhk20208kexhibit102.htm" TargetMode="External"/><Relationship Id="rId114" Type="http://schemas.openxmlformats.org/officeDocument/2006/relationships/hyperlink" Target="https://www.sec.gov/Archives/edgar/data/851968/000119312520135771/d926185dex102.htm" TargetMode="External"/><Relationship Id="rId115" Type="http://schemas.openxmlformats.org/officeDocument/2006/relationships/hyperlink" Target="https://www.sec.gov/Archives/edgar/data/851968/000085196822000026/ex106executedthirdamendm.htm" TargetMode="External"/><Relationship Id="rId116" Type="http://schemas.openxmlformats.org/officeDocument/2006/relationships/hyperlink" Target="https://www.sec.gov/Archives/edgar/data/851968/000119312522220058/d388962dex101.htm" TargetMode="External"/><Relationship Id="rId117" Type="http://schemas.openxmlformats.org/officeDocument/2006/relationships/hyperlink" Target="https://www.sec.gov/Archives/edgar/data/851968/000119312522220058/d388962dex102.htm" TargetMode="External"/><Relationship Id="rId118" Type="http://schemas.openxmlformats.org/officeDocument/2006/relationships/hyperlink" Target="https://www.sec.gov/Archives/edgar/data/851968/000085196822000091/mhk_2022q3exhibit103.htm" TargetMode="External"/><Relationship Id="rId119" Type="http://schemas.openxmlformats.org/officeDocument/2006/relationships/hyperlink" Target="https://www.sec.gov/ix?doc=/Archives/edgar/data/851968/000085196824000125/mhk-20240928.htm" TargetMode="External"/><Relationship Id="rId120" Type="http://schemas.openxmlformats.org/officeDocument/2006/relationships/hyperlink" Target="https://www.sec.gov/Archives/edgar/data/851968/000085196819000020/mhk_201810kexhibit1018.htm" TargetMode="External"/><Relationship Id="rId121" Type="http://schemas.openxmlformats.org/officeDocument/2006/relationships/hyperlink" Target="https://www.sec.gov/Archives/edgar/data/851968/000085196819000020/mhk_201810kexhibit1022.htm" TargetMode="External"/><Relationship Id="rId124" Type="http://schemas.openxmlformats.org/officeDocument/2006/relationships/hyperlink" Target="https://www.sec.gov/ix?doc=/Archives/edgar/data/851968/000085196824000106/mhk-20240629.htm" TargetMode="External"/><Relationship Id="rId125" Type="http://schemas.openxmlformats.org/officeDocument/2006/relationships/hyperlink" Target="https://www.sec.gov/Archives/edgar/data/851968/000085196816000120/a201510k-ex1019deferredcom.htm" TargetMode="External"/><Relationship Id="rId126" Type="http://schemas.openxmlformats.org/officeDocument/2006/relationships/hyperlink" Target="https://www.sec.gov/Archives/edgar/data/851968/000085196825000023/newex1016-amendednonxemplo.htm" TargetMode="External"/><Relationship Id="rId127" Type="http://schemas.openxmlformats.org/officeDocument/2006/relationships/hyperlink" Target="https://www.sec.gov/Archives/edgar/data/851968/000119312517113575/d285764ddef14a.htm" TargetMode="External"/><Relationship Id="rId128" Type="http://schemas.openxmlformats.org/officeDocument/2006/relationships/hyperlink" Target="https://www.sec.gov/Archives/edgar/data/851968/000085196823000033/mhk_2022q410kexhibit1017.htm" TargetMode="External"/><Relationship Id="rId129" Type="http://schemas.openxmlformats.org/officeDocument/2006/relationships/hyperlink" Target="https://www.sec.gov/Archives/edgar/data/851968/000085196825000023/newex19-insidertradingpoli.htm" TargetMode="External"/><Relationship Id="rId130" Type="http://schemas.openxmlformats.org/officeDocument/2006/relationships/hyperlink" Target="https://www.sec.gov/ix?doc=/Archives/edgar/data/851968/000085196824000027/mhk-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2026-02-24T07:57:04Z</dcterms:created>
  <dcterms:modified xsi:type="dcterms:W3CDTF">2026-02-24T07:57:04Z</dcterms:modified>
</cp:coreProperties>
</file>